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828C3" w14:textId="6F23E89D" w:rsidR="00AB2AC5" w:rsidRPr="00FC0E2C" w:rsidRDefault="00AB2AC5" w:rsidP="009D2F24">
      <w:pPr>
        <w:pStyle w:val="Heading2"/>
        <w:spacing w:before="0"/>
        <w:jc w:val="center"/>
        <w:rPr>
          <w:rFonts w:ascii="Arial" w:hAnsi="Arial" w:cs="Arial"/>
          <w:b/>
          <w:bCs/>
          <w:color w:val="006B73"/>
          <w:sz w:val="48"/>
          <w:szCs w:val="48"/>
        </w:rPr>
      </w:pPr>
      <w:bookmarkStart w:id="0" w:name="_GoBack"/>
      <w:bookmarkEnd w:id="0"/>
      <w:r w:rsidRPr="00FC0E2C">
        <w:rPr>
          <w:rFonts w:ascii="Arial" w:hAnsi="Arial" w:cs="Arial"/>
          <w:b/>
          <w:bCs/>
          <w:color w:val="006B73"/>
          <w:sz w:val="48"/>
          <w:szCs w:val="48"/>
        </w:rPr>
        <w:t>Workers’ Compensation Board</w:t>
      </w:r>
      <w:r w:rsidR="009D2F24" w:rsidRPr="00FC0E2C">
        <w:rPr>
          <w:rFonts w:ascii="Arial" w:hAnsi="Arial" w:cs="Arial"/>
          <w:b/>
          <w:bCs/>
          <w:color w:val="006B73"/>
          <w:sz w:val="48"/>
          <w:szCs w:val="48"/>
        </w:rPr>
        <w:br/>
      </w:r>
      <w:r w:rsidRPr="00FC0E2C">
        <w:rPr>
          <w:rFonts w:ascii="Arial" w:hAnsi="Arial" w:cs="Arial"/>
          <w:b/>
          <w:bCs/>
          <w:color w:val="006B73"/>
          <w:sz w:val="48"/>
          <w:szCs w:val="48"/>
        </w:rPr>
        <w:t>Pharmacy Benefit Plan</w:t>
      </w:r>
    </w:p>
    <w:p w14:paraId="48E542A7" w14:textId="602623AE" w:rsidR="00AB2AC5" w:rsidRPr="00E958B7" w:rsidRDefault="00AB2AC5" w:rsidP="009D2F24">
      <w:pPr>
        <w:pStyle w:val="greyheaders"/>
        <w:spacing w:before="160"/>
        <w:rPr>
          <w:color w:val="7A9FA1"/>
        </w:rPr>
      </w:pPr>
      <w:r w:rsidRPr="00E958B7">
        <w:rPr>
          <w:color w:val="7A9FA1"/>
        </w:rPr>
        <w:t>1.0</w:t>
      </w:r>
      <w:r w:rsidR="00C476BA">
        <w:rPr>
          <w:color w:val="7A9FA1"/>
        </w:rPr>
        <w:t xml:space="preserve"> </w:t>
      </w:r>
      <w:r w:rsidRPr="00E958B7">
        <w:rPr>
          <w:color w:val="7A9FA1"/>
        </w:rPr>
        <w:t>Introduction</w:t>
      </w:r>
    </w:p>
    <w:p w14:paraId="5181AE8C" w14:textId="37B80216" w:rsidR="00AB2AC5" w:rsidRPr="00DE194C" w:rsidRDefault="00AB2AC5" w:rsidP="004B33FF">
      <w:pPr>
        <w:pStyle w:val="NoSpacing"/>
        <w:spacing w:before="120"/>
        <w:rPr>
          <w:rFonts w:ascii="Arial" w:hAnsi="Arial" w:cs="Arial"/>
          <w:strike/>
          <w:sz w:val="20"/>
          <w:szCs w:val="20"/>
        </w:rPr>
      </w:pPr>
      <w:r w:rsidRPr="00DE194C">
        <w:rPr>
          <w:rFonts w:ascii="Arial" w:hAnsi="Arial" w:cs="Arial"/>
          <w:sz w:val="20"/>
          <w:szCs w:val="20"/>
        </w:rPr>
        <w:t>Options for pharmaceutical care have greatly expanded over the past several years.</w:t>
      </w:r>
      <w:r w:rsidR="008B2F2A">
        <w:rPr>
          <w:rFonts w:ascii="Arial" w:hAnsi="Arial" w:cs="Arial"/>
          <w:sz w:val="20"/>
          <w:szCs w:val="20"/>
        </w:rPr>
        <w:t xml:space="preserve"> </w:t>
      </w:r>
      <w:r w:rsidRPr="00DE194C">
        <w:rPr>
          <w:rFonts w:ascii="Arial" w:hAnsi="Arial" w:cs="Arial"/>
          <w:sz w:val="20"/>
          <w:szCs w:val="20"/>
        </w:rPr>
        <w:t>New pharmaceuticals and pharmaceutical treatment modalities are introduced to the medical community on an almost daily basis.</w:t>
      </w:r>
      <w:r w:rsidR="00C476BA">
        <w:rPr>
          <w:rFonts w:ascii="Arial" w:hAnsi="Arial" w:cs="Arial"/>
          <w:sz w:val="20"/>
          <w:szCs w:val="20"/>
        </w:rPr>
        <w:t xml:space="preserve"> </w:t>
      </w:r>
      <w:r w:rsidRPr="00DE194C">
        <w:rPr>
          <w:rFonts w:ascii="Arial" w:hAnsi="Arial" w:cs="Arial"/>
          <w:sz w:val="20"/>
          <w:szCs w:val="20"/>
        </w:rPr>
        <w:t>Prescribers continue to be deluged by the pharmaceutical industry, patient requests, print and other media, all trying to impact prescribing patterns.</w:t>
      </w:r>
      <w:r w:rsidR="00C476BA">
        <w:rPr>
          <w:rFonts w:ascii="Arial" w:hAnsi="Arial" w:cs="Arial"/>
          <w:sz w:val="20"/>
          <w:szCs w:val="20"/>
        </w:rPr>
        <w:t xml:space="preserve"> </w:t>
      </w:r>
    </w:p>
    <w:p w14:paraId="0A1D279C" w14:textId="4C277508" w:rsidR="00AB2AC5" w:rsidRPr="00DE194C" w:rsidRDefault="00AB2AC5" w:rsidP="004B33FF">
      <w:pPr>
        <w:pStyle w:val="NoSpacing"/>
        <w:spacing w:before="120"/>
        <w:rPr>
          <w:rFonts w:ascii="Arial" w:hAnsi="Arial" w:cs="Arial"/>
          <w:sz w:val="20"/>
          <w:szCs w:val="20"/>
        </w:rPr>
      </w:pPr>
      <w:r w:rsidRPr="00DE194C">
        <w:rPr>
          <w:rFonts w:ascii="Arial" w:hAnsi="Arial" w:cs="Arial"/>
          <w:sz w:val="20"/>
          <w:szCs w:val="20"/>
        </w:rPr>
        <w:t>The current New York Workers’ Compensation Board (WCB) pharmacy benefit provides little structure, guidance or oversight as to what prescribers may prescribe for claimants.</w:t>
      </w:r>
      <w:r w:rsidR="008B2F2A">
        <w:rPr>
          <w:rFonts w:ascii="Arial" w:hAnsi="Arial" w:cs="Arial"/>
          <w:sz w:val="20"/>
          <w:szCs w:val="20"/>
        </w:rPr>
        <w:t xml:space="preserve"> </w:t>
      </w:r>
      <w:r w:rsidRPr="00DE194C">
        <w:rPr>
          <w:rFonts w:ascii="Arial" w:hAnsi="Arial" w:cs="Arial"/>
          <w:sz w:val="20"/>
          <w:szCs w:val="20"/>
        </w:rPr>
        <w:t>Although reimbursement levels for brand, generic and compounded products are established, there are few parameters as to what medications can be utilized.</w:t>
      </w:r>
    </w:p>
    <w:p w14:paraId="1B853542" w14:textId="6B3CAE67" w:rsidR="00AB2AC5" w:rsidRPr="00DE194C" w:rsidRDefault="00AB2AC5" w:rsidP="004B33FF">
      <w:pPr>
        <w:pStyle w:val="NoSpacing"/>
        <w:spacing w:before="120"/>
        <w:rPr>
          <w:rFonts w:ascii="Arial" w:hAnsi="Arial" w:cs="Arial"/>
          <w:sz w:val="20"/>
          <w:szCs w:val="20"/>
        </w:rPr>
      </w:pPr>
      <w:r w:rsidRPr="00DE194C">
        <w:rPr>
          <w:rFonts w:ascii="Arial" w:hAnsi="Arial" w:cs="Arial"/>
          <w:sz w:val="20"/>
          <w:szCs w:val="20"/>
        </w:rPr>
        <w:t>The Board is considering the implementation of a drug formulary which will provide stronger oversight of medications to ensure high-quality cost-effective medications are selected and that they are used for an approved indication and/or via an approved route of administration.</w:t>
      </w:r>
      <w:r w:rsidR="00C476BA">
        <w:rPr>
          <w:rFonts w:ascii="Arial" w:hAnsi="Arial" w:cs="Arial"/>
          <w:sz w:val="20"/>
          <w:szCs w:val="20"/>
        </w:rPr>
        <w:t xml:space="preserve"> </w:t>
      </w:r>
    </w:p>
    <w:p w14:paraId="6058F78C" w14:textId="267069B4" w:rsidR="00AB2AC5" w:rsidRPr="00E958B7" w:rsidRDefault="00AB2AC5" w:rsidP="004B33FF">
      <w:pPr>
        <w:pStyle w:val="greyheader2"/>
        <w:rPr>
          <w:color w:val="7A9FA1"/>
        </w:rPr>
      </w:pPr>
      <w:r w:rsidRPr="00E958B7">
        <w:rPr>
          <w:color w:val="7A9FA1"/>
        </w:rPr>
        <w:t>Current Benefit Structure</w:t>
      </w:r>
    </w:p>
    <w:p w14:paraId="1A15CC94" w14:textId="7D8C3C66" w:rsidR="00AB2AC5" w:rsidRPr="00DE194C" w:rsidRDefault="00AB2AC5" w:rsidP="004B33FF">
      <w:pPr>
        <w:pStyle w:val="NoSpacing"/>
        <w:numPr>
          <w:ilvl w:val="0"/>
          <w:numId w:val="6"/>
        </w:numPr>
        <w:spacing w:before="120"/>
        <w:rPr>
          <w:rFonts w:ascii="Arial" w:hAnsi="Arial" w:cs="Arial"/>
          <w:sz w:val="20"/>
          <w:szCs w:val="20"/>
        </w:rPr>
      </w:pPr>
      <w:r w:rsidRPr="00DE194C">
        <w:rPr>
          <w:rFonts w:ascii="Arial" w:hAnsi="Arial" w:cs="Arial"/>
          <w:sz w:val="20"/>
          <w:szCs w:val="20"/>
        </w:rPr>
        <w:t>Subchapter M of the Codes, Rules and Regulations of New York, Pharmacy and Durable Medical Goods Fee Schedules and Appendices, describes the structure of the pharmacy benefit plan for claimants in New York’s Workers’ Compensation system.</w:t>
      </w:r>
      <w:r w:rsidR="00C476BA">
        <w:rPr>
          <w:rFonts w:ascii="Arial" w:hAnsi="Arial" w:cs="Arial"/>
          <w:sz w:val="20"/>
          <w:szCs w:val="20"/>
        </w:rPr>
        <w:t xml:space="preserve"> </w:t>
      </w:r>
      <w:r w:rsidRPr="00DE194C">
        <w:rPr>
          <w:rFonts w:ascii="Arial" w:hAnsi="Arial" w:cs="Arial"/>
          <w:sz w:val="20"/>
          <w:szCs w:val="20"/>
        </w:rPr>
        <w:t>Part 440 describes the Pharmacy Fee Schedule, applicability, etc.</w:t>
      </w:r>
    </w:p>
    <w:p w14:paraId="6F30D388" w14:textId="3A3A0326" w:rsidR="00AB2AC5" w:rsidRPr="00DE194C" w:rsidRDefault="00AB2AC5" w:rsidP="004B33FF">
      <w:pPr>
        <w:pStyle w:val="NoSpacing"/>
        <w:numPr>
          <w:ilvl w:val="0"/>
          <w:numId w:val="6"/>
        </w:numPr>
        <w:spacing w:before="120"/>
        <w:rPr>
          <w:rFonts w:ascii="Arial" w:hAnsi="Arial" w:cs="Arial"/>
          <w:sz w:val="20"/>
          <w:szCs w:val="20"/>
        </w:rPr>
      </w:pPr>
      <w:r w:rsidRPr="00DE194C">
        <w:rPr>
          <w:rFonts w:ascii="Arial" w:hAnsi="Arial" w:cs="Arial"/>
          <w:sz w:val="20"/>
          <w:szCs w:val="20"/>
        </w:rPr>
        <w:t>The current pharmacy benefit plan, which has been in effect since July 11, 2007, defines the payment methodology for medications prescribed by Workers’ Compensation Board approved practitioners.</w:t>
      </w:r>
      <w:r w:rsidR="008B2F2A">
        <w:rPr>
          <w:rFonts w:ascii="Arial" w:hAnsi="Arial" w:cs="Arial"/>
          <w:sz w:val="20"/>
          <w:szCs w:val="20"/>
        </w:rPr>
        <w:t xml:space="preserve"> </w:t>
      </w:r>
      <w:r w:rsidRPr="00DE194C">
        <w:rPr>
          <w:rFonts w:ascii="Arial" w:hAnsi="Arial" w:cs="Arial"/>
          <w:sz w:val="20"/>
          <w:szCs w:val="20"/>
        </w:rPr>
        <w:t>The reimbursement schedule is as follows</w:t>
      </w:r>
      <w:r w:rsidRPr="00DE194C">
        <w:rPr>
          <w:rStyle w:val="FootnoteReference"/>
          <w:rFonts w:ascii="Arial" w:hAnsi="Arial" w:cs="Arial"/>
          <w:sz w:val="20"/>
          <w:szCs w:val="20"/>
        </w:rPr>
        <w:footnoteReference w:id="1"/>
      </w:r>
      <w:r w:rsidRPr="00DE194C">
        <w:rPr>
          <w:rFonts w:ascii="Arial" w:hAnsi="Arial" w:cs="Arial"/>
          <w:sz w:val="20"/>
          <w:szCs w:val="20"/>
        </w:rPr>
        <w:t>:</w:t>
      </w:r>
    </w:p>
    <w:p w14:paraId="3F2FFE92" w14:textId="77777777" w:rsidR="00AB2AC5" w:rsidRPr="00DE194C" w:rsidRDefault="00AB2AC5" w:rsidP="004B33FF">
      <w:pPr>
        <w:pStyle w:val="NoSpacing"/>
        <w:rPr>
          <w:rFonts w:ascii="Arial" w:hAnsi="Arial" w:cs="Arial"/>
          <w:color w:val="FF0000"/>
          <w:sz w:val="20"/>
          <w:szCs w:val="20"/>
        </w:rPr>
      </w:pPr>
    </w:p>
    <w:tbl>
      <w:tblPr>
        <w:tblStyle w:val="GridTable5Dark"/>
        <w:tblW w:w="0" w:type="auto"/>
        <w:tblLook w:val="04A0" w:firstRow="1" w:lastRow="0" w:firstColumn="1" w:lastColumn="0" w:noHBand="0" w:noVBand="1"/>
      </w:tblPr>
      <w:tblGrid>
        <w:gridCol w:w="1739"/>
        <w:gridCol w:w="1505"/>
        <w:gridCol w:w="1683"/>
        <w:gridCol w:w="2011"/>
        <w:gridCol w:w="2920"/>
      </w:tblGrid>
      <w:tr w:rsidR="0076308A" w:rsidRPr="00DE194C" w14:paraId="03184DB1" w14:textId="77777777" w:rsidTr="00FC0E2C">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3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6B73"/>
            <w:vAlign w:val="center"/>
            <w:hideMark/>
          </w:tcPr>
          <w:p w14:paraId="2F45EBC0" w14:textId="77777777" w:rsidR="00AB2AC5" w:rsidRPr="00C476BA" w:rsidRDefault="00AB2AC5" w:rsidP="004B33FF">
            <w:pPr>
              <w:pStyle w:val="NoSpacing"/>
              <w:rPr>
                <w:rFonts w:ascii="Arial" w:hAnsi="Arial" w:cs="Arial"/>
              </w:rPr>
            </w:pPr>
            <w:r w:rsidRPr="00C476BA">
              <w:rPr>
                <w:rFonts w:ascii="Arial" w:hAnsi="Arial" w:cs="Arial"/>
              </w:rPr>
              <w:t>Status</w:t>
            </w:r>
          </w:p>
        </w:tc>
        <w:tc>
          <w:tcPr>
            <w:tcW w:w="15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6B73"/>
            <w:vAlign w:val="center"/>
            <w:hideMark/>
          </w:tcPr>
          <w:p w14:paraId="2871EDE2" w14:textId="77777777" w:rsidR="00AB2AC5" w:rsidRPr="00C476BA" w:rsidRDefault="00AB2AC5" w:rsidP="004B33F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C476BA">
              <w:rPr>
                <w:rFonts w:ascii="Arial" w:hAnsi="Arial" w:cs="Arial"/>
              </w:rPr>
              <w:t>Drug Item</w:t>
            </w:r>
          </w:p>
        </w:tc>
        <w:tc>
          <w:tcPr>
            <w:tcW w:w="16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6B73"/>
            <w:vAlign w:val="center"/>
            <w:hideMark/>
          </w:tcPr>
          <w:p w14:paraId="35BFB55E" w14:textId="77777777" w:rsidR="00AB2AC5" w:rsidRPr="00C476BA" w:rsidRDefault="00AB2AC5" w:rsidP="004B33F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C476BA">
              <w:rPr>
                <w:rFonts w:ascii="Arial" w:hAnsi="Arial" w:cs="Arial"/>
              </w:rPr>
              <w:t>Price</w:t>
            </w:r>
          </w:p>
        </w:tc>
        <w:tc>
          <w:tcPr>
            <w:tcW w:w="20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6B73"/>
            <w:vAlign w:val="center"/>
            <w:hideMark/>
          </w:tcPr>
          <w:p w14:paraId="169DAED1" w14:textId="77777777" w:rsidR="00AB2AC5" w:rsidRPr="00C476BA" w:rsidRDefault="00AB2AC5" w:rsidP="004B33F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C476BA">
              <w:rPr>
                <w:rFonts w:ascii="Arial" w:hAnsi="Arial" w:cs="Arial"/>
              </w:rPr>
              <w:t>Dispensing Fee</w:t>
            </w:r>
          </w:p>
        </w:tc>
        <w:tc>
          <w:tcPr>
            <w:tcW w:w="2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6B73"/>
            <w:vAlign w:val="center"/>
            <w:hideMark/>
          </w:tcPr>
          <w:p w14:paraId="3A484F55" w14:textId="77777777" w:rsidR="00AB2AC5" w:rsidRPr="00C476BA" w:rsidRDefault="00AB2AC5" w:rsidP="004B33F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C476BA">
              <w:rPr>
                <w:rFonts w:ascii="Arial" w:hAnsi="Arial" w:cs="Arial"/>
              </w:rPr>
              <w:t>Reimbursement</w:t>
            </w:r>
          </w:p>
        </w:tc>
      </w:tr>
      <w:tr w:rsidR="008B2F2A" w:rsidRPr="00DE194C" w14:paraId="59157E98" w14:textId="77777777" w:rsidTr="0076308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739" w:type="dxa"/>
            <w:vMerge w:val="restart"/>
            <w:tcBorders>
              <w:top w:val="single" w:sz="8" w:space="0" w:color="FFFFFF" w:themeColor="background1"/>
            </w:tcBorders>
            <w:shd w:val="clear" w:color="auto" w:fill="FAEBAF"/>
            <w:vAlign w:val="center"/>
          </w:tcPr>
          <w:p w14:paraId="1F2F328D" w14:textId="65231870" w:rsidR="00AB2AC5" w:rsidRPr="008B2F2A" w:rsidRDefault="00AB2AC5" w:rsidP="004B33FF">
            <w:pPr>
              <w:pStyle w:val="NoSpacing"/>
              <w:rPr>
                <w:rFonts w:ascii="Arial" w:hAnsi="Arial" w:cs="Arial"/>
                <w:color w:val="000000" w:themeColor="text1"/>
                <w:sz w:val="20"/>
                <w:szCs w:val="20"/>
              </w:rPr>
            </w:pPr>
            <w:r w:rsidRPr="008B2F2A">
              <w:rPr>
                <w:rFonts w:ascii="Arial" w:hAnsi="Arial" w:cs="Arial"/>
                <w:color w:val="000000" w:themeColor="text1"/>
                <w:sz w:val="20"/>
                <w:szCs w:val="20"/>
              </w:rPr>
              <w:t>Uncontroverted</w:t>
            </w:r>
          </w:p>
        </w:tc>
        <w:tc>
          <w:tcPr>
            <w:tcW w:w="1505" w:type="dxa"/>
            <w:tcBorders>
              <w:top w:val="single" w:sz="8" w:space="0" w:color="FFFFFF" w:themeColor="background1"/>
            </w:tcBorders>
            <w:shd w:val="clear" w:color="auto" w:fill="FAEBAF"/>
            <w:vAlign w:val="center"/>
            <w:hideMark/>
          </w:tcPr>
          <w:p w14:paraId="70B31DF1" w14:textId="77777777" w:rsidR="00AB2AC5" w:rsidRPr="00DE194C" w:rsidRDefault="00AB2AC5" w:rsidP="004B33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194C">
              <w:rPr>
                <w:rFonts w:ascii="Arial" w:hAnsi="Arial" w:cs="Arial"/>
                <w:sz w:val="20"/>
                <w:szCs w:val="20"/>
              </w:rPr>
              <w:t>Brand</w:t>
            </w:r>
          </w:p>
        </w:tc>
        <w:tc>
          <w:tcPr>
            <w:tcW w:w="1683" w:type="dxa"/>
            <w:tcBorders>
              <w:top w:val="single" w:sz="8" w:space="0" w:color="FFFFFF" w:themeColor="background1"/>
            </w:tcBorders>
            <w:shd w:val="clear" w:color="auto" w:fill="FAEBAF"/>
            <w:vAlign w:val="center"/>
            <w:hideMark/>
          </w:tcPr>
          <w:p w14:paraId="229094C6" w14:textId="77777777" w:rsidR="00AB2AC5" w:rsidRPr="00DE194C" w:rsidRDefault="00AB2AC5" w:rsidP="004B33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194C">
              <w:rPr>
                <w:rFonts w:ascii="Arial" w:hAnsi="Arial" w:cs="Arial"/>
                <w:sz w:val="20"/>
                <w:szCs w:val="20"/>
              </w:rPr>
              <w:t>AWP</w:t>
            </w:r>
            <w:r w:rsidRPr="00DE194C">
              <w:rPr>
                <w:rStyle w:val="FootnoteReference"/>
                <w:rFonts w:ascii="Arial" w:hAnsi="Arial" w:cs="Arial"/>
                <w:sz w:val="20"/>
                <w:szCs w:val="20"/>
              </w:rPr>
              <w:footnoteReference w:id="2"/>
            </w:r>
            <w:r w:rsidRPr="00DE194C">
              <w:rPr>
                <w:rFonts w:ascii="Arial" w:hAnsi="Arial" w:cs="Arial"/>
                <w:sz w:val="20"/>
                <w:szCs w:val="20"/>
              </w:rPr>
              <w:t xml:space="preserve"> – 12%</w:t>
            </w:r>
          </w:p>
        </w:tc>
        <w:tc>
          <w:tcPr>
            <w:tcW w:w="2011" w:type="dxa"/>
            <w:tcBorders>
              <w:top w:val="single" w:sz="8" w:space="0" w:color="FFFFFF" w:themeColor="background1"/>
            </w:tcBorders>
            <w:shd w:val="clear" w:color="auto" w:fill="FAEBAF"/>
            <w:vAlign w:val="center"/>
            <w:hideMark/>
          </w:tcPr>
          <w:p w14:paraId="1FA82AE7" w14:textId="77777777" w:rsidR="00AB2AC5" w:rsidRPr="00DE194C" w:rsidRDefault="00AB2AC5" w:rsidP="004B33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194C">
              <w:rPr>
                <w:rFonts w:ascii="Arial" w:hAnsi="Arial" w:cs="Arial"/>
                <w:sz w:val="20"/>
                <w:szCs w:val="20"/>
              </w:rPr>
              <w:t>$4.00</w:t>
            </w:r>
          </w:p>
        </w:tc>
        <w:tc>
          <w:tcPr>
            <w:tcW w:w="2920" w:type="dxa"/>
            <w:tcBorders>
              <w:top w:val="single" w:sz="8" w:space="0" w:color="FFFFFF" w:themeColor="background1"/>
            </w:tcBorders>
            <w:shd w:val="clear" w:color="auto" w:fill="FAEBAF"/>
            <w:vAlign w:val="center"/>
            <w:hideMark/>
          </w:tcPr>
          <w:p w14:paraId="11829186" w14:textId="77777777" w:rsidR="00AB2AC5" w:rsidRPr="00DE194C" w:rsidRDefault="00AB2AC5" w:rsidP="004B33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194C">
              <w:rPr>
                <w:rFonts w:ascii="Arial" w:hAnsi="Arial" w:cs="Arial"/>
                <w:sz w:val="20"/>
                <w:szCs w:val="20"/>
              </w:rPr>
              <w:t>Price + Dispensing Fee = “X”</w:t>
            </w:r>
          </w:p>
        </w:tc>
      </w:tr>
      <w:tr w:rsidR="008B2F2A" w:rsidRPr="00DE194C" w14:paraId="201A8C9E" w14:textId="77777777" w:rsidTr="00E958B7">
        <w:trPr>
          <w:trHeight w:val="440"/>
        </w:trPr>
        <w:tc>
          <w:tcPr>
            <w:cnfStyle w:val="001000000000" w:firstRow="0" w:lastRow="0" w:firstColumn="1" w:lastColumn="0" w:oddVBand="0" w:evenVBand="0" w:oddHBand="0" w:evenHBand="0" w:firstRowFirstColumn="0" w:firstRowLastColumn="0" w:lastRowFirstColumn="0" w:lastRowLastColumn="0"/>
            <w:tcW w:w="1739" w:type="dxa"/>
            <w:vMerge/>
            <w:shd w:val="clear" w:color="auto" w:fill="FAEBAF"/>
            <w:vAlign w:val="center"/>
            <w:hideMark/>
          </w:tcPr>
          <w:p w14:paraId="28A680E9" w14:textId="77777777" w:rsidR="00AB2AC5" w:rsidRPr="008B2F2A" w:rsidRDefault="00AB2AC5" w:rsidP="004B33FF">
            <w:pPr>
              <w:pStyle w:val="NoSpacing"/>
              <w:rPr>
                <w:rFonts w:ascii="Arial" w:hAnsi="Arial" w:cs="Arial"/>
                <w:color w:val="000000" w:themeColor="text1"/>
                <w:sz w:val="20"/>
                <w:szCs w:val="20"/>
              </w:rPr>
            </w:pPr>
          </w:p>
        </w:tc>
        <w:tc>
          <w:tcPr>
            <w:tcW w:w="1505" w:type="dxa"/>
            <w:shd w:val="clear" w:color="auto" w:fill="FAEBAF"/>
            <w:vAlign w:val="center"/>
            <w:hideMark/>
          </w:tcPr>
          <w:p w14:paraId="16AC2F82" w14:textId="77777777" w:rsidR="00AB2AC5" w:rsidRPr="00DE194C" w:rsidRDefault="00AB2AC5" w:rsidP="004B33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194C">
              <w:rPr>
                <w:rFonts w:ascii="Arial" w:hAnsi="Arial" w:cs="Arial"/>
                <w:sz w:val="20"/>
                <w:szCs w:val="20"/>
              </w:rPr>
              <w:t>Generic</w:t>
            </w:r>
          </w:p>
        </w:tc>
        <w:tc>
          <w:tcPr>
            <w:tcW w:w="1683" w:type="dxa"/>
            <w:shd w:val="clear" w:color="auto" w:fill="FAEBAF"/>
            <w:vAlign w:val="center"/>
            <w:hideMark/>
          </w:tcPr>
          <w:p w14:paraId="66A73EEE" w14:textId="77777777" w:rsidR="00AB2AC5" w:rsidRPr="00DE194C" w:rsidRDefault="00AB2AC5" w:rsidP="004B33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194C">
              <w:rPr>
                <w:rFonts w:ascii="Arial" w:hAnsi="Arial" w:cs="Arial"/>
                <w:sz w:val="20"/>
                <w:szCs w:val="20"/>
              </w:rPr>
              <w:t>AWP – 20%</w:t>
            </w:r>
          </w:p>
        </w:tc>
        <w:tc>
          <w:tcPr>
            <w:tcW w:w="2011" w:type="dxa"/>
            <w:shd w:val="clear" w:color="auto" w:fill="FAEBAF"/>
            <w:vAlign w:val="center"/>
            <w:hideMark/>
          </w:tcPr>
          <w:p w14:paraId="39260CD9" w14:textId="77777777" w:rsidR="00AB2AC5" w:rsidRPr="00DE194C" w:rsidRDefault="00AB2AC5" w:rsidP="004B33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194C">
              <w:rPr>
                <w:rFonts w:ascii="Arial" w:hAnsi="Arial" w:cs="Arial"/>
                <w:sz w:val="20"/>
                <w:szCs w:val="20"/>
              </w:rPr>
              <w:t>$5.00</w:t>
            </w:r>
          </w:p>
        </w:tc>
        <w:tc>
          <w:tcPr>
            <w:tcW w:w="2920" w:type="dxa"/>
            <w:shd w:val="clear" w:color="auto" w:fill="FAEBAF"/>
            <w:vAlign w:val="center"/>
            <w:hideMark/>
          </w:tcPr>
          <w:p w14:paraId="03C7B940" w14:textId="07AB6A84" w:rsidR="00AB2AC5" w:rsidRPr="00DE194C" w:rsidRDefault="00AB2AC5" w:rsidP="004B33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194C">
              <w:rPr>
                <w:rFonts w:ascii="Arial" w:hAnsi="Arial" w:cs="Arial"/>
                <w:sz w:val="20"/>
                <w:szCs w:val="20"/>
              </w:rPr>
              <w:t>Price + Dispensing Fee =</w:t>
            </w:r>
            <w:r w:rsidR="00C476BA">
              <w:rPr>
                <w:rFonts w:ascii="Arial" w:hAnsi="Arial" w:cs="Arial"/>
                <w:sz w:val="20"/>
                <w:szCs w:val="20"/>
              </w:rPr>
              <w:t xml:space="preserve"> </w:t>
            </w:r>
            <w:r w:rsidRPr="00DE194C">
              <w:rPr>
                <w:rFonts w:ascii="Arial" w:hAnsi="Arial" w:cs="Arial"/>
                <w:sz w:val="20"/>
                <w:szCs w:val="20"/>
              </w:rPr>
              <w:t>“Y”</w:t>
            </w:r>
          </w:p>
        </w:tc>
      </w:tr>
      <w:tr w:rsidR="008B2F2A" w:rsidRPr="00DE194C" w14:paraId="3F0F3C70" w14:textId="77777777" w:rsidTr="00E958B7">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739" w:type="dxa"/>
            <w:vMerge w:val="restart"/>
            <w:shd w:val="clear" w:color="auto" w:fill="D6E2DD"/>
            <w:vAlign w:val="center"/>
          </w:tcPr>
          <w:p w14:paraId="20044D1C" w14:textId="72D80ACC" w:rsidR="00AB2AC5" w:rsidRPr="008B2F2A" w:rsidRDefault="00AB2AC5" w:rsidP="004B33FF">
            <w:pPr>
              <w:pStyle w:val="NoSpacing"/>
              <w:rPr>
                <w:rFonts w:ascii="Arial" w:hAnsi="Arial" w:cs="Arial"/>
                <w:color w:val="000000" w:themeColor="text1"/>
                <w:sz w:val="20"/>
                <w:szCs w:val="20"/>
              </w:rPr>
            </w:pPr>
            <w:r w:rsidRPr="008B2F2A">
              <w:rPr>
                <w:rFonts w:ascii="Arial" w:hAnsi="Arial" w:cs="Arial"/>
                <w:color w:val="000000" w:themeColor="text1"/>
                <w:sz w:val="20"/>
                <w:szCs w:val="20"/>
              </w:rPr>
              <w:t>Controverted</w:t>
            </w:r>
          </w:p>
        </w:tc>
        <w:tc>
          <w:tcPr>
            <w:tcW w:w="1505" w:type="dxa"/>
            <w:shd w:val="clear" w:color="auto" w:fill="D6E2DD"/>
            <w:vAlign w:val="center"/>
            <w:hideMark/>
          </w:tcPr>
          <w:p w14:paraId="600EED1B" w14:textId="77777777" w:rsidR="00AB2AC5" w:rsidRPr="00DE194C" w:rsidRDefault="00AB2AC5" w:rsidP="004B33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194C">
              <w:rPr>
                <w:rFonts w:ascii="Arial" w:hAnsi="Arial" w:cs="Arial"/>
                <w:sz w:val="20"/>
                <w:szCs w:val="20"/>
              </w:rPr>
              <w:t>Brand</w:t>
            </w:r>
          </w:p>
        </w:tc>
        <w:tc>
          <w:tcPr>
            <w:tcW w:w="1683" w:type="dxa"/>
            <w:shd w:val="clear" w:color="auto" w:fill="D6E2DD"/>
            <w:vAlign w:val="center"/>
          </w:tcPr>
          <w:p w14:paraId="37AB1F04" w14:textId="77777777" w:rsidR="00AB2AC5" w:rsidRPr="00DE194C" w:rsidRDefault="00AB2AC5" w:rsidP="004B33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011" w:type="dxa"/>
            <w:shd w:val="clear" w:color="auto" w:fill="D6E2DD"/>
            <w:vAlign w:val="center"/>
            <w:hideMark/>
          </w:tcPr>
          <w:p w14:paraId="3AD1C01C" w14:textId="77777777" w:rsidR="00AB2AC5" w:rsidRPr="00DE194C" w:rsidRDefault="00AB2AC5" w:rsidP="004B33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194C">
              <w:rPr>
                <w:rFonts w:ascii="Arial" w:hAnsi="Arial" w:cs="Arial"/>
                <w:sz w:val="20"/>
                <w:szCs w:val="20"/>
              </w:rPr>
              <w:t>$6.00</w:t>
            </w:r>
          </w:p>
        </w:tc>
        <w:tc>
          <w:tcPr>
            <w:tcW w:w="2920" w:type="dxa"/>
            <w:shd w:val="clear" w:color="auto" w:fill="D6E2DD"/>
            <w:vAlign w:val="center"/>
            <w:hideMark/>
          </w:tcPr>
          <w:p w14:paraId="1BC3BBFB" w14:textId="77777777" w:rsidR="00AB2AC5" w:rsidRPr="00DE194C" w:rsidRDefault="00AB2AC5" w:rsidP="004B33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194C">
              <w:rPr>
                <w:rFonts w:ascii="Arial" w:hAnsi="Arial" w:cs="Arial"/>
                <w:sz w:val="20"/>
                <w:szCs w:val="20"/>
              </w:rPr>
              <w:t>“X” plus 25% plus $6.00</w:t>
            </w:r>
          </w:p>
        </w:tc>
      </w:tr>
      <w:tr w:rsidR="0076308A" w:rsidRPr="00DE194C" w14:paraId="4A5A491C" w14:textId="77777777" w:rsidTr="00E958B7">
        <w:trPr>
          <w:trHeight w:val="413"/>
        </w:trPr>
        <w:tc>
          <w:tcPr>
            <w:cnfStyle w:val="001000000000" w:firstRow="0" w:lastRow="0" w:firstColumn="1" w:lastColumn="0" w:oddVBand="0" w:evenVBand="0" w:oddHBand="0" w:evenHBand="0" w:firstRowFirstColumn="0" w:firstRowLastColumn="0" w:lastRowFirstColumn="0" w:lastRowLastColumn="0"/>
            <w:tcW w:w="1739" w:type="dxa"/>
            <w:vMerge/>
            <w:shd w:val="clear" w:color="auto" w:fill="D6E2DD"/>
            <w:vAlign w:val="center"/>
            <w:hideMark/>
          </w:tcPr>
          <w:p w14:paraId="468E6DA1" w14:textId="77777777" w:rsidR="00AB2AC5" w:rsidRPr="00DE194C" w:rsidRDefault="00AB2AC5" w:rsidP="004B33FF">
            <w:pPr>
              <w:pStyle w:val="NoSpacing"/>
              <w:rPr>
                <w:rFonts w:ascii="Arial" w:hAnsi="Arial" w:cs="Arial"/>
                <w:sz w:val="20"/>
                <w:szCs w:val="20"/>
              </w:rPr>
            </w:pPr>
          </w:p>
        </w:tc>
        <w:tc>
          <w:tcPr>
            <w:tcW w:w="1505" w:type="dxa"/>
            <w:shd w:val="clear" w:color="auto" w:fill="D6E2DD"/>
            <w:vAlign w:val="center"/>
            <w:hideMark/>
          </w:tcPr>
          <w:p w14:paraId="61108444" w14:textId="77777777" w:rsidR="00AB2AC5" w:rsidRPr="00DE194C" w:rsidRDefault="00AB2AC5" w:rsidP="004B33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194C">
              <w:rPr>
                <w:rFonts w:ascii="Arial" w:hAnsi="Arial" w:cs="Arial"/>
                <w:sz w:val="20"/>
                <w:szCs w:val="20"/>
              </w:rPr>
              <w:t>Generic</w:t>
            </w:r>
          </w:p>
        </w:tc>
        <w:tc>
          <w:tcPr>
            <w:tcW w:w="1683" w:type="dxa"/>
            <w:shd w:val="clear" w:color="auto" w:fill="D6E2DD"/>
            <w:vAlign w:val="center"/>
          </w:tcPr>
          <w:p w14:paraId="51AF092E" w14:textId="77777777" w:rsidR="00AB2AC5" w:rsidRPr="00DE194C" w:rsidRDefault="00AB2AC5" w:rsidP="004B33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11" w:type="dxa"/>
            <w:shd w:val="clear" w:color="auto" w:fill="D6E2DD"/>
            <w:vAlign w:val="center"/>
            <w:hideMark/>
          </w:tcPr>
          <w:p w14:paraId="430019CE" w14:textId="77777777" w:rsidR="00AB2AC5" w:rsidRPr="00DE194C" w:rsidRDefault="00AB2AC5" w:rsidP="004B33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194C">
              <w:rPr>
                <w:rFonts w:ascii="Arial" w:hAnsi="Arial" w:cs="Arial"/>
                <w:sz w:val="20"/>
                <w:szCs w:val="20"/>
              </w:rPr>
              <w:t>$7.50</w:t>
            </w:r>
          </w:p>
        </w:tc>
        <w:tc>
          <w:tcPr>
            <w:tcW w:w="2920" w:type="dxa"/>
            <w:shd w:val="clear" w:color="auto" w:fill="D6E2DD"/>
            <w:vAlign w:val="center"/>
            <w:hideMark/>
          </w:tcPr>
          <w:p w14:paraId="75EAC37B" w14:textId="77777777" w:rsidR="00AB2AC5" w:rsidRPr="00DE194C" w:rsidRDefault="00AB2AC5" w:rsidP="004B33F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194C">
              <w:rPr>
                <w:rFonts w:ascii="Arial" w:hAnsi="Arial" w:cs="Arial"/>
                <w:sz w:val="20"/>
                <w:szCs w:val="20"/>
              </w:rPr>
              <w:t>“Y” plus 25% plus $7.50</w:t>
            </w:r>
          </w:p>
        </w:tc>
      </w:tr>
      <w:tr w:rsidR="00C476BA" w:rsidRPr="00DE194C" w14:paraId="25ED61A2" w14:textId="77777777" w:rsidTr="00C476BA">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739" w:type="dxa"/>
            <w:shd w:val="clear" w:color="auto" w:fill="FFFFFF" w:themeFill="background1"/>
            <w:vAlign w:val="center"/>
          </w:tcPr>
          <w:p w14:paraId="04B381BB" w14:textId="77777777" w:rsidR="00AB2AC5" w:rsidRPr="00DE194C" w:rsidRDefault="00AB2AC5" w:rsidP="004B33FF">
            <w:pPr>
              <w:pStyle w:val="NoSpacing"/>
              <w:rPr>
                <w:rFonts w:ascii="Arial" w:hAnsi="Arial" w:cs="Arial"/>
                <w:sz w:val="20"/>
                <w:szCs w:val="20"/>
              </w:rPr>
            </w:pPr>
          </w:p>
        </w:tc>
        <w:tc>
          <w:tcPr>
            <w:tcW w:w="1505" w:type="dxa"/>
            <w:shd w:val="clear" w:color="auto" w:fill="D7D8D7"/>
            <w:vAlign w:val="center"/>
            <w:hideMark/>
          </w:tcPr>
          <w:p w14:paraId="75848C24" w14:textId="77777777" w:rsidR="00AB2AC5" w:rsidRPr="00DE194C" w:rsidRDefault="00AB2AC5" w:rsidP="004B33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194C">
              <w:rPr>
                <w:rFonts w:ascii="Arial" w:hAnsi="Arial" w:cs="Arial"/>
                <w:sz w:val="20"/>
                <w:szCs w:val="20"/>
              </w:rPr>
              <w:t>Compounded Product</w:t>
            </w:r>
          </w:p>
        </w:tc>
        <w:tc>
          <w:tcPr>
            <w:tcW w:w="1683" w:type="dxa"/>
            <w:shd w:val="clear" w:color="auto" w:fill="D7D8D7"/>
            <w:vAlign w:val="center"/>
            <w:hideMark/>
          </w:tcPr>
          <w:p w14:paraId="79013D88" w14:textId="77777777" w:rsidR="00AB2AC5" w:rsidRPr="00DE194C" w:rsidRDefault="00AB2AC5" w:rsidP="004B33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194C">
              <w:rPr>
                <w:rFonts w:ascii="Arial" w:hAnsi="Arial" w:cs="Arial"/>
                <w:sz w:val="20"/>
                <w:szCs w:val="20"/>
              </w:rPr>
              <w:t>Sum of ingredient costs</w:t>
            </w:r>
          </w:p>
        </w:tc>
        <w:tc>
          <w:tcPr>
            <w:tcW w:w="2011" w:type="dxa"/>
            <w:shd w:val="clear" w:color="auto" w:fill="D7D8D7"/>
            <w:vAlign w:val="center"/>
            <w:hideMark/>
          </w:tcPr>
          <w:p w14:paraId="3FA27F5F" w14:textId="77777777" w:rsidR="00AB2AC5" w:rsidRPr="00DE194C" w:rsidRDefault="00AB2AC5" w:rsidP="004B33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E194C">
              <w:rPr>
                <w:rFonts w:ascii="Arial" w:hAnsi="Arial" w:cs="Arial"/>
                <w:sz w:val="20"/>
                <w:szCs w:val="20"/>
              </w:rPr>
              <w:t>“single dispensing fee per compound”</w:t>
            </w:r>
          </w:p>
        </w:tc>
        <w:tc>
          <w:tcPr>
            <w:tcW w:w="2920" w:type="dxa"/>
            <w:shd w:val="clear" w:color="auto" w:fill="FFFFFF" w:themeFill="background1"/>
            <w:vAlign w:val="center"/>
          </w:tcPr>
          <w:p w14:paraId="57FD27D1" w14:textId="77777777" w:rsidR="00AB2AC5" w:rsidRPr="00DE194C" w:rsidRDefault="00AB2AC5" w:rsidP="004B33F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1EC73C20" w14:textId="77777777" w:rsidR="00AB2AC5" w:rsidRPr="00DE194C" w:rsidRDefault="00AB2AC5" w:rsidP="004B33FF">
      <w:pPr>
        <w:pStyle w:val="NoSpacing"/>
        <w:rPr>
          <w:rFonts w:ascii="Arial" w:hAnsi="Arial" w:cs="Arial"/>
          <w:sz w:val="20"/>
          <w:szCs w:val="20"/>
        </w:rPr>
      </w:pPr>
    </w:p>
    <w:p w14:paraId="5C5A5AE9" w14:textId="4F45FEF0" w:rsidR="00AB2AC5" w:rsidRPr="00DE194C" w:rsidRDefault="00AB2AC5" w:rsidP="004B33FF">
      <w:pPr>
        <w:pStyle w:val="NoSpacing"/>
        <w:numPr>
          <w:ilvl w:val="0"/>
          <w:numId w:val="6"/>
        </w:numPr>
        <w:spacing w:before="120"/>
        <w:rPr>
          <w:rFonts w:ascii="Arial" w:hAnsi="Arial" w:cs="Arial"/>
          <w:sz w:val="20"/>
          <w:szCs w:val="20"/>
        </w:rPr>
      </w:pPr>
      <w:r w:rsidRPr="00DE194C">
        <w:rPr>
          <w:rFonts w:ascii="Arial" w:hAnsi="Arial" w:cs="Arial"/>
          <w:sz w:val="20"/>
          <w:szCs w:val="20"/>
        </w:rPr>
        <w:lastRenderedPageBreak/>
        <w:t>Authorized prescribers may order any medication they choose.</w:t>
      </w:r>
      <w:r w:rsidR="00E958B7">
        <w:rPr>
          <w:rFonts w:ascii="Arial" w:hAnsi="Arial" w:cs="Arial"/>
          <w:sz w:val="20"/>
          <w:szCs w:val="20"/>
        </w:rPr>
        <w:t xml:space="preserve"> </w:t>
      </w:r>
      <w:r w:rsidRPr="00DE194C">
        <w:rPr>
          <w:rFonts w:ascii="Arial" w:hAnsi="Arial" w:cs="Arial"/>
          <w:sz w:val="20"/>
          <w:szCs w:val="20"/>
        </w:rPr>
        <w:t>There is no drug formulary in place; no requirement for preapproval/prior authorization; no process to insure high-quality cost-effective medications are utilized.</w:t>
      </w:r>
    </w:p>
    <w:p w14:paraId="115E7AD5" w14:textId="77777777" w:rsidR="00AB2AC5" w:rsidRPr="00DE194C" w:rsidRDefault="00AB2AC5" w:rsidP="004B33FF">
      <w:pPr>
        <w:pStyle w:val="NoSpacing"/>
        <w:numPr>
          <w:ilvl w:val="0"/>
          <w:numId w:val="6"/>
        </w:numPr>
        <w:spacing w:before="120"/>
        <w:rPr>
          <w:rFonts w:ascii="Arial" w:hAnsi="Arial" w:cs="Arial"/>
          <w:sz w:val="20"/>
          <w:szCs w:val="20"/>
        </w:rPr>
      </w:pPr>
      <w:r w:rsidRPr="00DE194C">
        <w:rPr>
          <w:rFonts w:ascii="Arial" w:hAnsi="Arial" w:cs="Arial"/>
          <w:sz w:val="20"/>
          <w:szCs w:val="20"/>
        </w:rPr>
        <w:t>In accordance with Workers’ Compensation Law, §440.6, when a brand name drug is prescribed to treat an injury for which a self-insured employer or insurance carrier is liable, a generic equivalent, if available, shall be provided unless the prescribing physician specifically provides otherwise on the prescription in accordance with New York Education Law §6810(6).</w:t>
      </w:r>
    </w:p>
    <w:p w14:paraId="709AFD37" w14:textId="29C29CC4" w:rsidR="00AB2AC5" w:rsidRPr="00DE194C" w:rsidRDefault="00AB2AC5" w:rsidP="004B33FF">
      <w:pPr>
        <w:pStyle w:val="NoSpacing"/>
        <w:numPr>
          <w:ilvl w:val="0"/>
          <w:numId w:val="7"/>
        </w:numPr>
        <w:spacing w:before="80"/>
        <w:rPr>
          <w:rFonts w:ascii="Arial" w:hAnsi="Arial" w:cs="Arial"/>
          <w:sz w:val="20"/>
          <w:szCs w:val="20"/>
        </w:rPr>
      </w:pPr>
      <w:r w:rsidRPr="00DE194C">
        <w:rPr>
          <w:rFonts w:ascii="Arial" w:hAnsi="Arial" w:cs="Arial"/>
          <w:sz w:val="20"/>
          <w:szCs w:val="20"/>
        </w:rPr>
        <w:t>Payment is made for Food and Drug Administration (FDA) approved medications regardless of whether the medication is prescribed for an approved indication and/or via an approved route of administration. For example, compounded topical products, composed of multiple commercially available products, are</w:t>
      </w:r>
      <w:r w:rsidRPr="00DE194C">
        <w:rPr>
          <w:rFonts w:ascii="Arial" w:hAnsi="Arial" w:cs="Arial"/>
          <w:color w:val="FF0000"/>
          <w:sz w:val="20"/>
          <w:szCs w:val="20"/>
        </w:rPr>
        <w:t xml:space="preserve"> </w:t>
      </w:r>
      <w:r w:rsidRPr="00DE194C">
        <w:rPr>
          <w:rFonts w:ascii="Arial" w:hAnsi="Arial" w:cs="Arial"/>
          <w:sz w:val="20"/>
          <w:szCs w:val="20"/>
        </w:rPr>
        <w:t>prescribed and reimbursed by carriers. However, the topical route of administration for many of these products is not approved by the FDA.</w:t>
      </w:r>
      <w:r w:rsidR="00E958B7">
        <w:rPr>
          <w:rFonts w:ascii="Arial" w:hAnsi="Arial" w:cs="Arial"/>
          <w:sz w:val="20"/>
          <w:szCs w:val="20"/>
        </w:rPr>
        <w:t xml:space="preserve"> </w:t>
      </w:r>
      <w:r w:rsidRPr="00DE194C">
        <w:rPr>
          <w:rFonts w:ascii="Arial" w:hAnsi="Arial" w:cs="Arial"/>
          <w:sz w:val="20"/>
          <w:szCs w:val="20"/>
        </w:rPr>
        <w:t>There have been several reports in the literature of</w:t>
      </w:r>
      <w:r w:rsidRPr="00DE194C">
        <w:rPr>
          <w:rFonts w:ascii="Arial" w:hAnsi="Arial" w:cs="Arial"/>
          <w:color w:val="FF0000"/>
          <w:sz w:val="20"/>
          <w:szCs w:val="20"/>
        </w:rPr>
        <w:t xml:space="preserve"> </w:t>
      </w:r>
      <w:r w:rsidRPr="00DE194C">
        <w:rPr>
          <w:rFonts w:ascii="Arial" w:hAnsi="Arial" w:cs="Arial"/>
          <w:sz w:val="20"/>
          <w:szCs w:val="20"/>
        </w:rPr>
        <w:t>harm to patients and/or family members, including death, subsequent to receiving these preparations</w:t>
      </w:r>
      <w:r w:rsidRPr="00DE194C">
        <w:rPr>
          <w:rStyle w:val="FootnoteReference"/>
          <w:rFonts w:ascii="Arial" w:hAnsi="Arial" w:cs="Arial"/>
          <w:sz w:val="20"/>
          <w:szCs w:val="20"/>
        </w:rPr>
        <w:footnoteReference w:id="3"/>
      </w:r>
      <w:r w:rsidRPr="00DE194C">
        <w:rPr>
          <w:rFonts w:ascii="Arial" w:hAnsi="Arial" w:cs="Arial"/>
          <w:sz w:val="20"/>
          <w:szCs w:val="20"/>
        </w:rPr>
        <w:t>.</w:t>
      </w:r>
    </w:p>
    <w:p w14:paraId="04F11DE5" w14:textId="71DBCCEE" w:rsidR="00AB2AC5" w:rsidRPr="00DE194C" w:rsidRDefault="00AB2AC5" w:rsidP="004B33FF">
      <w:pPr>
        <w:pStyle w:val="NoSpacing"/>
        <w:numPr>
          <w:ilvl w:val="0"/>
          <w:numId w:val="6"/>
        </w:numPr>
        <w:spacing w:before="120"/>
        <w:rPr>
          <w:rFonts w:ascii="Arial" w:hAnsi="Arial" w:cs="Arial"/>
          <w:sz w:val="20"/>
          <w:szCs w:val="20"/>
        </w:rPr>
      </w:pPr>
      <w:r w:rsidRPr="00DE194C">
        <w:rPr>
          <w:rFonts w:ascii="Arial" w:hAnsi="Arial" w:cs="Arial"/>
          <w:sz w:val="20"/>
          <w:szCs w:val="20"/>
        </w:rPr>
        <w:t>AWP which is utilized for reimbursement is subject to “manipulation.”</w:t>
      </w:r>
      <w:r w:rsidR="00C476BA">
        <w:rPr>
          <w:rFonts w:ascii="Arial" w:hAnsi="Arial" w:cs="Arial"/>
          <w:sz w:val="20"/>
          <w:szCs w:val="20"/>
        </w:rPr>
        <w:t xml:space="preserve"> </w:t>
      </w:r>
    </w:p>
    <w:p w14:paraId="311497DC" w14:textId="77777777" w:rsidR="00AB2AC5" w:rsidRPr="00DE194C" w:rsidRDefault="00AB2AC5" w:rsidP="004B33FF">
      <w:pPr>
        <w:pStyle w:val="test"/>
        <w:spacing w:before="80"/>
      </w:pPr>
      <w:r w:rsidRPr="00DE194C">
        <w:t>The AWP of a drug often varies based on package size (i.e. a bulk package of 10,000 units typically has a lower AWP per unit than a package size of 100 units).</w:t>
      </w:r>
    </w:p>
    <w:p w14:paraId="2A8C4844" w14:textId="00BFD511" w:rsidR="00AB2AC5" w:rsidRPr="00E958B7" w:rsidRDefault="00AB2AC5" w:rsidP="004B33FF">
      <w:pPr>
        <w:pStyle w:val="test"/>
        <w:spacing w:before="80"/>
      </w:pPr>
      <w:r w:rsidRPr="00DE194C">
        <w:t>Products can be acquired by a pharmaceutical distributor in large quantity packages, repackaged into smaller containers, assigned a new National Drug Code (NDC) by the distributor/re-packager, and sold at significantly higher AWP on a per unit basis.</w:t>
      </w:r>
      <w:r w:rsidR="00E958B7">
        <w:t xml:space="preserve"> </w:t>
      </w:r>
      <w:r w:rsidRPr="00DE194C">
        <w:t>This results in a relatively inexpensive product becoming very expensive.</w:t>
      </w:r>
      <w:r w:rsidR="00E958B7">
        <w:t xml:space="preserve"> </w:t>
      </w:r>
      <w:r w:rsidRPr="00DE194C">
        <w:t>These higher prices (of repackaged items) are utilized to calculate the reimbursement outlined in current regulations.</w:t>
      </w:r>
    </w:p>
    <w:p w14:paraId="62BD3397" w14:textId="3EDBF97C" w:rsidR="00AB2AC5" w:rsidRPr="00E958B7" w:rsidRDefault="00AB2AC5" w:rsidP="004B33FF">
      <w:pPr>
        <w:pStyle w:val="greyheader2"/>
        <w:rPr>
          <w:color w:val="7A9FA1"/>
        </w:rPr>
      </w:pPr>
      <w:r w:rsidRPr="00E958B7">
        <w:rPr>
          <w:color w:val="7A9FA1"/>
        </w:rPr>
        <w:t>Recommendation</w:t>
      </w:r>
    </w:p>
    <w:p w14:paraId="0F710E5C" w14:textId="13DA9DF6" w:rsidR="00AB2AC5" w:rsidRPr="00DE194C" w:rsidRDefault="00AB2AC5" w:rsidP="004B33FF">
      <w:pPr>
        <w:tabs>
          <w:tab w:val="left" w:pos="2523"/>
        </w:tabs>
        <w:spacing w:before="120"/>
        <w:rPr>
          <w:rFonts w:cs="Arial"/>
          <w:sz w:val="20"/>
          <w:szCs w:val="20"/>
        </w:rPr>
      </w:pPr>
      <w:r w:rsidRPr="00DE194C">
        <w:rPr>
          <w:rFonts w:cs="Arial"/>
          <w:sz w:val="20"/>
          <w:szCs w:val="20"/>
        </w:rPr>
        <w:t>The Board needs to establish a comprehensive prescription drug benefit program that addresses the issues identified above and works to ensure that claimants receive high-quality cost-effective medications.</w:t>
      </w:r>
      <w:r w:rsidR="00C476BA">
        <w:rPr>
          <w:rFonts w:cs="Arial"/>
          <w:sz w:val="20"/>
          <w:szCs w:val="20"/>
        </w:rPr>
        <w:t xml:space="preserve"> </w:t>
      </w:r>
    </w:p>
    <w:p w14:paraId="7F40A57A" w14:textId="77777777" w:rsidR="00AB2AC5" w:rsidRPr="00DE194C" w:rsidRDefault="00AB2AC5" w:rsidP="004B33FF">
      <w:pPr>
        <w:spacing w:before="120"/>
        <w:rPr>
          <w:rFonts w:cs="Arial"/>
          <w:sz w:val="20"/>
          <w:szCs w:val="20"/>
        </w:rPr>
      </w:pPr>
      <w:r w:rsidRPr="00DE194C">
        <w:rPr>
          <w:rFonts w:cs="Arial"/>
          <w:sz w:val="20"/>
          <w:szCs w:val="20"/>
        </w:rPr>
        <w:t>Options for a NYS Workers’ Compensation Prescription Drug Program include, but are not limited to:</w:t>
      </w:r>
    </w:p>
    <w:p w14:paraId="6E193327" w14:textId="4FA703BE" w:rsidR="00AB2AC5" w:rsidRPr="00DE194C" w:rsidRDefault="00AB2AC5" w:rsidP="004B33FF">
      <w:pPr>
        <w:pStyle w:val="ListParagraph"/>
        <w:numPr>
          <w:ilvl w:val="0"/>
          <w:numId w:val="2"/>
        </w:numPr>
        <w:spacing w:before="120" w:after="0"/>
        <w:contextualSpacing w:val="0"/>
        <w:rPr>
          <w:rFonts w:ascii="Arial" w:hAnsi="Arial" w:cs="Arial"/>
          <w:sz w:val="20"/>
          <w:szCs w:val="20"/>
        </w:rPr>
      </w:pPr>
      <w:r w:rsidRPr="00DE194C">
        <w:rPr>
          <w:rFonts w:ascii="Arial" w:hAnsi="Arial" w:cs="Arial"/>
          <w:sz w:val="20"/>
          <w:szCs w:val="20"/>
        </w:rPr>
        <w:t>Recommend carriers contract with a Pharmacy Benefit Manager (PBM) for the administration of a pharmacy benefit outlined by the Board, including implementation of the established NYS Workers’ Compensation Prescription Drug Formulary.</w:t>
      </w:r>
    </w:p>
    <w:p w14:paraId="57CC467E" w14:textId="77777777" w:rsidR="00AB2AC5" w:rsidRPr="00DE194C" w:rsidRDefault="00AB2AC5" w:rsidP="004B33FF">
      <w:pPr>
        <w:pStyle w:val="ListParagraph"/>
        <w:numPr>
          <w:ilvl w:val="0"/>
          <w:numId w:val="2"/>
        </w:numPr>
        <w:spacing w:before="120" w:after="0"/>
        <w:contextualSpacing w:val="0"/>
        <w:rPr>
          <w:rFonts w:ascii="Arial" w:hAnsi="Arial" w:cs="Arial"/>
          <w:sz w:val="20"/>
          <w:szCs w:val="20"/>
        </w:rPr>
      </w:pPr>
      <w:r w:rsidRPr="00DE194C">
        <w:rPr>
          <w:rFonts w:ascii="Arial" w:hAnsi="Arial" w:cs="Arial"/>
          <w:sz w:val="20"/>
          <w:szCs w:val="20"/>
        </w:rPr>
        <w:t>Establish a Workers’ Compensation Prescription Drug Formulary that would include:</w:t>
      </w:r>
    </w:p>
    <w:p w14:paraId="52B93C32" w14:textId="77777777" w:rsidR="00AB2AC5" w:rsidRPr="00DE194C" w:rsidRDefault="00AB2AC5" w:rsidP="004B33FF">
      <w:pPr>
        <w:pStyle w:val="ListParagraph"/>
        <w:numPr>
          <w:ilvl w:val="0"/>
          <w:numId w:val="8"/>
        </w:numPr>
        <w:spacing w:before="80" w:after="0"/>
        <w:contextualSpacing w:val="0"/>
        <w:rPr>
          <w:rFonts w:ascii="Arial" w:hAnsi="Arial" w:cs="Arial"/>
          <w:sz w:val="20"/>
          <w:szCs w:val="20"/>
        </w:rPr>
      </w:pPr>
      <w:r w:rsidRPr="00DE194C">
        <w:rPr>
          <w:rFonts w:ascii="Arial" w:hAnsi="Arial" w:cs="Arial"/>
          <w:sz w:val="20"/>
          <w:szCs w:val="20"/>
        </w:rPr>
        <w:t xml:space="preserve">Tiered level coverage, </w:t>
      </w:r>
    </w:p>
    <w:p w14:paraId="27471DA3" w14:textId="77777777" w:rsidR="00AB2AC5" w:rsidRPr="00DE194C" w:rsidRDefault="00AB2AC5" w:rsidP="004B33FF">
      <w:pPr>
        <w:pStyle w:val="ListParagraph"/>
        <w:numPr>
          <w:ilvl w:val="0"/>
          <w:numId w:val="8"/>
        </w:numPr>
        <w:spacing w:before="80" w:after="0"/>
        <w:contextualSpacing w:val="0"/>
        <w:rPr>
          <w:rFonts w:ascii="Arial" w:hAnsi="Arial" w:cs="Arial"/>
          <w:sz w:val="20"/>
          <w:szCs w:val="20"/>
        </w:rPr>
      </w:pPr>
      <w:r w:rsidRPr="00DE194C">
        <w:rPr>
          <w:rFonts w:ascii="Arial" w:hAnsi="Arial" w:cs="Arial"/>
          <w:sz w:val="20"/>
          <w:szCs w:val="20"/>
        </w:rPr>
        <w:t>Preferred Drug List, and</w:t>
      </w:r>
    </w:p>
    <w:p w14:paraId="6E48B706" w14:textId="77777777" w:rsidR="00AB2AC5" w:rsidRPr="00DE194C" w:rsidRDefault="00AB2AC5" w:rsidP="004B33FF">
      <w:pPr>
        <w:pStyle w:val="ListParagraph"/>
        <w:numPr>
          <w:ilvl w:val="0"/>
          <w:numId w:val="8"/>
        </w:numPr>
        <w:spacing w:before="80" w:after="0"/>
        <w:contextualSpacing w:val="0"/>
        <w:rPr>
          <w:rFonts w:ascii="Arial" w:hAnsi="Arial" w:cs="Arial"/>
          <w:sz w:val="20"/>
          <w:szCs w:val="20"/>
        </w:rPr>
      </w:pPr>
      <w:r w:rsidRPr="00DE194C">
        <w:rPr>
          <w:rFonts w:ascii="Arial" w:hAnsi="Arial" w:cs="Arial"/>
          <w:sz w:val="20"/>
          <w:szCs w:val="20"/>
        </w:rPr>
        <w:t>Determine disposition of drug rebates.</w:t>
      </w:r>
    </w:p>
    <w:p w14:paraId="76A265F3" w14:textId="77777777" w:rsidR="00AB2AC5" w:rsidRPr="00DE194C" w:rsidRDefault="00AB2AC5" w:rsidP="004B33FF">
      <w:pPr>
        <w:pStyle w:val="ListParagraph"/>
        <w:numPr>
          <w:ilvl w:val="0"/>
          <w:numId w:val="8"/>
        </w:numPr>
        <w:spacing w:before="80" w:after="0"/>
        <w:contextualSpacing w:val="0"/>
        <w:rPr>
          <w:rFonts w:ascii="Arial" w:hAnsi="Arial" w:cs="Arial"/>
          <w:sz w:val="20"/>
          <w:szCs w:val="20"/>
        </w:rPr>
      </w:pPr>
      <w:r w:rsidRPr="00DE194C">
        <w:rPr>
          <w:rFonts w:ascii="Arial" w:hAnsi="Arial" w:cs="Arial"/>
          <w:sz w:val="20"/>
          <w:szCs w:val="20"/>
        </w:rPr>
        <w:t>Require preapproval for non-formulary, non-preferred items.</w:t>
      </w:r>
    </w:p>
    <w:p w14:paraId="4F2E1662" w14:textId="77777777" w:rsidR="00AB2AC5" w:rsidRPr="00DE194C" w:rsidRDefault="00AB2AC5" w:rsidP="004B33FF">
      <w:pPr>
        <w:pStyle w:val="ListParagraph"/>
        <w:numPr>
          <w:ilvl w:val="0"/>
          <w:numId w:val="2"/>
        </w:numPr>
        <w:spacing w:before="120" w:after="0"/>
        <w:contextualSpacing w:val="0"/>
        <w:rPr>
          <w:rFonts w:ascii="Arial" w:hAnsi="Arial" w:cs="Arial"/>
          <w:sz w:val="20"/>
          <w:szCs w:val="20"/>
        </w:rPr>
      </w:pPr>
      <w:r w:rsidRPr="00DE194C">
        <w:rPr>
          <w:rFonts w:ascii="Arial" w:hAnsi="Arial" w:cs="Arial"/>
          <w:sz w:val="20"/>
          <w:szCs w:val="20"/>
        </w:rPr>
        <w:t>Provide payment only for drugs that are administered via an FDA-approved route of administration.</w:t>
      </w:r>
    </w:p>
    <w:p w14:paraId="361D983A" w14:textId="75A9F5D2" w:rsidR="00AB2AC5" w:rsidRPr="00DE194C" w:rsidRDefault="00AB2AC5" w:rsidP="004B33FF">
      <w:pPr>
        <w:pStyle w:val="ListParagraph"/>
        <w:numPr>
          <w:ilvl w:val="0"/>
          <w:numId w:val="2"/>
        </w:numPr>
        <w:spacing w:before="120" w:after="0"/>
        <w:contextualSpacing w:val="0"/>
        <w:rPr>
          <w:rFonts w:ascii="Arial" w:hAnsi="Arial" w:cs="Arial"/>
          <w:sz w:val="20"/>
          <w:szCs w:val="20"/>
        </w:rPr>
      </w:pPr>
      <w:r w:rsidRPr="00DE194C">
        <w:rPr>
          <w:rFonts w:ascii="Arial" w:hAnsi="Arial" w:cs="Arial"/>
          <w:sz w:val="20"/>
          <w:szCs w:val="20"/>
        </w:rPr>
        <w:t>Impose limitations on the prescribing of compounded medications.</w:t>
      </w:r>
      <w:r w:rsidR="00C476BA">
        <w:rPr>
          <w:rFonts w:ascii="Arial" w:hAnsi="Arial" w:cs="Arial"/>
          <w:sz w:val="20"/>
          <w:szCs w:val="20"/>
        </w:rPr>
        <w:t xml:space="preserve"> </w:t>
      </w:r>
    </w:p>
    <w:p w14:paraId="2865AEC1" w14:textId="77777777" w:rsidR="00AB2AC5" w:rsidRPr="00DE194C" w:rsidRDefault="00AB2AC5" w:rsidP="004B33FF">
      <w:pPr>
        <w:pStyle w:val="ListParagraph"/>
        <w:numPr>
          <w:ilvl w:val="0"/>
          <w:numId w:val="9"/>
        </w:numPr>
        <w:spacing w:before="80" w:after="0"/>
        <w:contextualSpacing w:val="0"/>
        <w:rPr>
          <w:rFonts w:ascii="Arial" w:hAnsi="Arial" w:cs="Arial"/>
          <w:sz w:val="20"/>
          <w:szCs w:val="20"/>
        </w:rPr>
      </w:pPr>
      <w:r w:rsidRPr="00DE194C">
        <w:rPr>
          <w:rFonts w:ascii="Arial" w:hAnsi="Arial" w:cs="Arial"/>
          <w:sz w:val="20"/>
          <w:szCs w:val="20"/>
        </w:rPr>
        <w:t>Billable monthly only.</w:t>
      </w:r>
    </w:p>
    <w:p w14:paraId="5FEDF91A" w14:textId="77777777" w:rsidR="00AB2AC5" w:rsidRPr="00DE194C" w:rsidRDefault="00AB2AC5" w:rsidP="004B33FF">
      <w:pPr>
        <w:pStyle w:val="ListParagraph"/>
        <w:numPr>
          <w:ilvl w:val="0"/>
          <w:numId w:val="9"/>
        </w:numPr>
        <w:spacing w:before="80" w:after="0"/>
        <w:contextualSpacing w:val="0"/>
        <w:rPr>
          <w:rFonts w:ascii="Arial" w:hAnsi="Arial" w:cs="Arial"/>
          <w:sz w:val="20"/>
          <w:szCs w:val="20"/>
        </w:rPr>
      </w:pPr>
      <w:r w:rsidRPr="00DE194C">
        <w:rPr>
          <w:rFonts w:ascii="Arial" w:hAnsi="Arial" w:cs="Arial"/>
          <w:sz w:val="20"/>
          <w:szCs w:val="20"/>
        </w:rPr>
        <w:t xml:space="preserve">Require that route of administration for the compounded drug is FDA-approved. </w:t>
      </w:r>
    </w:p>
    <w:p w14:paraId="477A563A" w14:textId="634E0DE9" w:rsidR="00AB2AC5" w:rsidRPr="00DE194C" w:rsidRDefault="00AB2AC5" w:rsidP="004B33FF">
      <w:pPr>
        <w:pStyle w:val="ListParagraph"/>
        <w:numPr>
          <w:ilvl w:val="0"/>
          <w:numId w:val="9"/>
        </w:numPr>
        <w:spacing w:before="80" w:after="0"/>
        <w:contextualSpacing w:val="0"/>
        <w:rPr>
          <w:rFonts w:ascii="Arial" w:hAnsi="Arial" w:cs="Arial"/>
          <w:sz w:val="20"/>
          <w:szCs w:val="20"/>
        </w:rPr>
      </w:pPr>
      <w:r w:rsidRPr="00DE194C">
        <w:rPr>
          <w:rFonts w:ascii="Arial" w:hAnsi="Arial" w:cs="Arial"/>
          <w:sz w:val="20"/>
          <w:szCs w:val="20"/>
        </w:rPr>
        <w:t>Establish a fair dispensing fee for compounded medications.</w:t>
      </w:r>
    </w:p>
    <w:p w14:paraId="3B4ACB9B" w14:textId="77777777" w:rsidR="00AB2AC5" w:rsidRPr="00DE194C" w:rsidRDefault="00AB2AC5" w:rsidP="004B33FF">
      <w:pPr>
        <w:pStyle w:val="ListParagraph"/>
        <w:numPr>
          <w:ilvl w:val="0"/>
          <w:numId w:val="2"/>
        </w:numPr>
        <w:spacing w:before="120" w:after="0"/>
        <w:contextualSpacing w:val="0"/>
        <w:rPr>
          <w:rFonts w:ascii="Arial" w:hAnsi="Arial" w:cs="Arial"/>
          <w:sz w:val="20"/>
          <w:szCs w:val="20"/>
        </w:rPr>
      </w:pPr>
      <w:r w:rsidRPr="00DE194C">
        <w:rPr>
          <w:rFonts w:ascii="Arial" w:hAnsi="Arial" w:cs="Arial"/>
          <w:sz w:val="20"/>
          <w:szCs w:val="20"/>
        </w:rPr>
        <w:t>Require compliance with MTGs on drug recommendations for all prescriptions, both inside and outside of NYS.</w:t>
      </w:r>
    </w:p>
    <w:p w14:paraId="3F71DFA9" w14:textId="77777777" w:rsidR="00AB2AC5" w:rsidRPr="00DE194C" w:rsidRDefault="00AB2AC5" w:rsidP="004B33FF">
      <w:pPr>
        <w:pStyle w:val="ListParagraph"/>
        <w:numPr>
          <w:ilvl w:val="0"/>
          <w:numId w:val="2"/>
        </w:numPr>
        <w:spacing w:before="120" w:after="0"/>
        <w:contextualSpacing w:val="0"/>
        <w:rPr>
          <w:rFonts w:ascii="Arial" w:hAnsi="Arial" w:cs="Arial"/>
          <w:sz w:val="20"/>
          <w:szCs w:val="20"/>
        </w:rPr>
      </w:pPr>
      <w:r w:rsidRPr="00DE194C">
        <w:rPr>
          <w:rFonts w:ascii="Arial" w:hAnsi="Arial" w:cs="Arial"/>
          <w:sz w:val="20"/>
          <w:szCs w:val="20"/>
        </w:rPr>
        <w:lastRenderedPageBreak/>
        <w:t>Adjust reimbursement methodology</w:t>
      </w:r>
    </w:p>
    <w:p w14:paraId="0E9E34E2" w14:textId="77777777" w:rsidR="00AB2AC5" w:rsidRPr="00DE194C" w:rsidRDefault="00AB2AC5" w:rsidP="004B33FF">
      <w:pPr>
        <w:pStyle w:val="test"/>
        <w:spacing w:before="80"/>
      </w:pPr>
      <w:r w:rsidRPr="00DE194C">
        <w:t>AWP of largest available container</w:t>
      </w:r>
    </w:p>
    <w:p w14:paraId="665F7773" w14:textId="77777777" w:rsidR="00AB2AC5" w:rsidRPr="00DE194C" w:rsidRDefault="00AB2AC5" w:rsidP="004B33FF">
      <w:pPr>
        <w:pStyle w:val="test"/>
        <w:spacing w:before="80"/>
      </w:pPr>
      <w:r w:rsidRPr="00DE194C">
        <w:t>Modify discount off AWP for both brand and generic products.</w:t>
      </w:r>
    </w:p>
    <w:p w14:paraId="77765D34" w14:textId="3A8692AA" w:rsidR="00AB2AC5" w:rsidRPr="00B33586" w:rsidRDefault="00C476BA" w:rsidP="004B33FF">
      <w:pPr>
        <w:pStyle w:val="Heading2"/>
        <w:numPr>
          <w:ilvl w:val="1"/>
          <w:numId w:val="10"/>
        </w:numPr>
        <w:spacing w:before="240" w:after="120"/>
        <w:rPr>
          <w:rFonts w:ascii="Arial" w:hAnsi="Arial" w:cs="Arial"/>
          <w:b/>
          <w:bCs/>
          <w:color w:val="7A9FA1"/>
          <w:sz w:val="24"/>
          <w:szCs w:val="24"/>
        </w:rPr>
      </w:pPr>
      <w:r>
        <w:rPr>
          <w:rFonts w:ascii="Arial" w:hAnsi="Arial" w:cs="Arial"/>
          <w:b/>
          <w:bCs/>
          <w:color w:val="7A9FA1"/>
          <w:sz w:val="24"/>
          <w:szCs w:val="24"/>
        </w:rPr>
        <w:t xml:space="preserve"> </w:t>
      </w:r>
      <w:r w:rsidR="00AB2AC5" w:rsidRPr="00B33586">
        <w:rPr>
          <w:rFonts w:ascii="Arial" w:hAnsi="Arial" w:cs="Arial"/>
          <w:b/>
          <w:bCs/>
          <w:color w:val="7A9FA1"/>
          <w:sz w:val="24"/>
          <w:szCs w:val="24"/>
        </w:rPr>
        <w:t>Pharmacy Benefit Manager (PBM)</w:t>
      </w:r>
    </w:p>
    <w:p w14:paraId="12E27959" w14:textId="6B24C52D" w:rsidR="00AB2AC5" w:rsidRPr="00DE194C" w:rsidRDefault="00AB2AC5" w:rsidP="004B33FF">
      <w:pPr>
        <w:pStyle w:val="ListParagraph"/>
        <w:numPr>
          <w:ilvl w:val="0"/>
          <w:numId w:val="3"/>
        </w:numPr>
        <w:spacing w:before="120" w:after="0"/>
        <w:contextualSpacing w:val="0"/>
        <w:rPr>
          <w:rFonts w:ascii="Arial" w:hAnsi="Arial" w:cs="Arial"/>
          <w:sz w:val="20"/>
          <w:szCs w:val="20"/>
        </w:rPr>
      </w:pPr>
      <w:r w:rsidRPr="00DE194C">
        <w:rPr>
          <w:rFonts w:ascii="Arial" w:hAnsi="Arial" w:cs="Arial"/>
          <w:sz w:val="20"/>
          <w:szCs w:val="20"/>
        </w:rPr>
        <w:t>Require all carriers/self-insured employers provide PBM services.</w:t>
      </w:r>
      <w:r w:rsidR="00C476BA">
        <w:rPr>
          <w:rFonts w:ascii="Arial" w:hAnsi="Arial" w:cs="Arial"/>
          <w:sz w:val="20"/>
          <w:szCs w:val="20"/>
        </w:rPr>
        <w:t xml:space="preserve"> </w:t>
      </w:r>
      <w:r w:rsidRPr="00DE194C">
        <w:rPr>
          <w:rFonts w:ascii="Arial" w:hAnsi="Arial" w:cs="Arial"/>
          <w:sz w:val="20"/>
          <w:szCs w:val="20"/>
        </w:rPr>
        <w:t>The PBM would be responsible for administering the drug benefit program on behalf of the carrier (or self-insured employer).</w:t>
      </w:r>
      <w:r w:rsidR="00C476BA">
        <w:rPr>
          <w:rFonts w:ascii="Arial" w:hAnsi="Arial" w:cs="Arial"/>
          <w:sz w:val="20"/>
          <w:szCs w:val="20"/>
        </w:rPr>
        <w:t xml:space="preserve"> </w:t>
      </w:r>
    </w:p>
    <w:p w14:paraId="1555FCB6" w14:textId="200B2363" w:rsidR="00AB2AC5" w:rsidRPr="00DE194C" w:rsidRDefault="00AB2AC5" w:rsidP="004B33FF">
      <w:pPr>
        <w:pStyle w:val="ListParagraph"/>
        <w:numPr>
          <w:ilvl w:val="0"/>
          <w:numId w:val="3"/>
        </w:numPr>
        <w:spacing w:before="120" w:after="0"/>
        <w:contextualSpacing w:val="0"/>
        <w:rPr>
          <w:rFonts w:ascii="Arial" w:hAnsi="Arial" w:cs="Arial"/>
          <w:sz w:val="20"/>
          <w:szCs w:val="20"/>
        </w:rPr>
      </w:pPr>
      <w:r w:rsidRPr="00DE194C">
        <w:rPr>
          <w:rFonts w:ascii="Arial" w:hAnsi="Arial" w:cs="Arial"/>
          <w:sz w:val="20"/>
          <w:szCs w:val="20"/>
        </w:rPr>
        <w:t>The carrier /self-insured, via the PBM, would be responsible for ensuring compliance with established guidelines and protocols, processing and paying prescription drug claims, contracting with pharmacies, making recommendations regarding the creation of a NYS Workers’ Compensation Formulary and ongoing updates to the formulary.</w:t>
      </w:r>
      <w:r w:rsidR="00C476BA">
        <w:rPr>
          <w:rFonts w:ascii="Arial" w:hAnsi="Arial" w:cs="Arial"/>
          <w:sz w:val="20"/>
          <w:szCs w:val="20"/>
        </w:rPr>
        <w:t xml:space="preserve"> </w:t>
      </w:r>
    </w:p>
    <w:p w14:paraId="1ECCA07F" w14:textId="77777777" w:rsidR="00AB2AC5" w:rsidRPr="00DE194C" w:rsidRDefault="00AB2AC5" w:rsidP="004B33FF">
      <w:pPr>
        <w:pStyle w:val="ListParagraph"/>
        <w:numPr>
          <w:ilvl w:val="0"/>
          <w:numId w:val="3"/>
        </w:numPr>
        <w:spacing w:before="120" w:after="0"/>
        <w:contextualSpacing w:val="0"/>
        <w:rPr>
          <w:rFonts w:ascii="Arial" w:hAnsi="Arial" w:cs="Arial"/>
          <w:sz w:val="20"/>
          <w:szCs w:val="20"/>
        </w:rPr>
      </w:pPr>
      <w:r w:rsidRPr="00DE194C">
        <w:rPr>
          <w:rFonts w:ascii="Arial" w:hAnsi="Arial" w:cs="Arial"/>
          <w:sz w:val="20"/>
          <w:szCs w:val="20"/>
        </w:rPr>
        <w:t>This would work to drive high-quality care while controlling total prescription spend, consistent with WC regulations/requirements, and negotiating discounts and rebates with drug manufacturers.</w:t>
      </w:r>
    </w:p>
    <w:p w14:paraId="2B35DB77" w14:textId="77777777" w:rsidR="00AB2AC5" w:rsidRPr="00DE194C" w:rsidRDefault="00AB2AC5" w:rsidP="004B33FF">
      <w:pPr>
        <w:pStyle w:val="ListParagraph"/>
        <w:numPr>
          <w:ilvl w:val="0"/>
          <w:numId w:val="3"/>
        </w:numPr>
        <w:spacing w:before="120" w:after="0"/>
        <w:contextualSpacing w:val="0"/>
        <w:rPr>
          <w:rFonts w:ascii="Arial" w:hAnsi="Arial" w:cs="Arial"/>
          <w:sz w:val="20"/>
          <w:szCs w:val="20"/>
        </w:rPr>
      </w:pPr>
      <w:r w:rsidRPr="00DE194C">
        <w:rPr>
          <w:rFonts w:ascii="Arial" w:hAnsi="Arial" w:cs="Arial"/>
          <w:sz w:val="20"/>
          <w:szCs w:val="20"/>
        </w:rPr>
        <w:t>Consistent with current regulations, employers would be required to post information about the pharmacy network and/or incorporate this notification into their new employee orientation process, as well as directly notify each employee when an injury is reported to the employer (in the claimant information package).</w:t>
      </w:r>
    </w:p>
    <w:p w14:paraId="4C3127F7" w14:textId="77777777" w:rsidR="00AB2AC5" w:rsidRPr="00DE194C" w:rsidRDefault="00AB2AC5" w:rsidP="004B33FF">
      <w:pPr>
        <w:pStyle w:val="ListParagraph"/>
        <w:numPr>
          <w:ilvl w:val="0"/>
          <w:numId w:val="3"/>
        </w:numPr>
        <w:spacing w:before="120" w:after="0"/>
        <w:contextualSpacing w:val="0"/>
        <w:rPr>
          <w:rFonts w:ascii="Arial" w:hAnsi="Arial" w:cs="Arial"/>
          <w:sz w:val="20"/>
          <w:szCs w:val="20"/>
        </w:rPr>
      </w:pPr>
      <w:r w:rsidRPr="00DE194C">
        <w:rPr>
          <w:rFonts w:ascii="Arial" w:hAnsi="Arial" w:cs="Arial"/>
          <w:sz w:val="20"/>
          <w:szCs w:val="20"/>
        </w:rPr>
        <w:t xml:space="preserve">The Board, working with stakeholders, would be responsible for establishing the PBM program criteria, formulary and performance monitoring standards. </w:t>
      </w:r>
    </w:p>
    <w:p w14:paraId="14D7105D" w14:textId="092C7F2D" w:rsidR="00AB2AC5" w:rsidRPr="00DE194C" w:rsidRDefault="00C476BA" w:rsidP="004B33FF">
      <w:pPr>
        <w:pStyle w:val="header3"/>
      </w:pPr>
      <w:r>
        <w:t xml:space="preserve"> </w:t>
      </w:r>
      <w:r w:rsidR="00AB2AC5" w:rsidRPr="00DE194C">
        <w:t>Pharmacy Reimbursement Strategy</w:t>
      </w:r>
    </w:p>
    <w:p w14:paraId="199B8D44" w14:textId="20FA883E" w:rsidR="00AB2AC5" w:rsidRPr="00DE194C" w:rsidRDefault="00AB2AC5" w:rsidP="004B33FF">
      <w:pPr>
        <w:pStyle w:val="ListParagraph"/>
        <w:numPr>
          <w:ilvl w:val="0"/>
          <w:numId w:val="11"/>
        </w:numPr>
        <w:spacing w:before="120" w:after="0"/>
        <w:contextualSpacing w:val="0"/>
        <w:rPr>
          <w:rFonts w:ascii="Arial" w:hAnsi="Arial" w:cs="Arial"/>
          <w:sz w:val="20"/>
          <w:szCs w:val="20"/>
        </w:rPr>
      </w:pPr>
      <w:r w:rsidRPr="00DE194C">
        <w:rPr>
          <w:rFonts w:ascii="Arial" w:hAnsi="Arial" w:cs="Arial"/>
          <w:sz w:val="20"/>
          <w:szCs w:val="20"/>
        </w:rPr>
        <w:t>The PBM would be responsible for working with the payer to implement the Board-defined reimbursement strategy for brand and generic products (i.e. AWP minus a fixed percentage plus a dispensing fee).</w:t>
      </w:r>
      <w:r w:rsidR="00C476BA">
        <w:rPr>
          <w:rFonts w:ascii="Arial" w:hAnsi="Arial" w:cs="Arial"/>
          <w:sz w:val="20"/>
          <w:szCs w:val="20"/>
        </w:rPr>
        <w:t xml:space="preserve"> </w:t>
      </w:r>
    </w:p>
    <w:p w14:paraId="7F871622" w14:textId="77777777" w:rsidR="00AB2AC5" w:rsidRPr="00DE194C" w:rsidRDefault="00AB2AC5" w:rsidP="004B33FF">
      <w:pPr>
        <w:pStyle w:val="ListParagraph"/>
        <w:numPr>
          <w:ilvl w:val="0"/>
          <w:numId w:val="11"/>
        </w:numPr>
        <w:spacing w:before="120" w:after="0"/>
        <w:contextualSpacing w:val="0"/>
        <w:rPr>
          <w:rFonts w:ascii="Arial" w:hAnsi="Arial" w:cs="Arial"/>
          <w:sz w:val="20"/>
          <w:szCs w:val="20"/>
        </w:rPr>
      </w:pPr>
      <w:r w:rsidRPr="00DE194C">
        <w:rPr>
          <w:rFonts w:ascii="Arial" w:hAnsi="Arial" w:cs="Arial"/>
          <w:sz w:val="20"/>
          <w:szCs w:val="20"/>
        </w:rPr>
        <w:t xml:space="preserve">Other strategies should be implemented by the PBM, including the requirement that reimbursement must be based on the AWP of the package size actually being used for dispensing and reimbursing NDCs for repackaged drugs based on the original manufacturer’s AWP. </w:t>
      </w:r>
    </w:p>
    <w:p w14:paraId="7C690B89" w14:textId="206170C1" w:rsidR="00AB2AC5" w:rsidRPr="00DE194C" w:rsidRDefault="00AB2AC5" w:rsidP="004B33FF">
      <w:pPr>
        <w:pStyle w:val="ListParagraph"/>
        <w:numPr>
          <w:ilvl w:val="0"/>
          <w:numId w:val="11"/>
        </w:numPr>
        <w:spacing w:before="120" w:after="0"/>
        <w:contextualSpacing w:val="0"/>
        <w:rPr>
          <w:rFonts w:ascii="Arial" w:hAnsi="Arial" w:cs="Arial"/>
          <w:sz w:val="20"/>
          <w:szCs w:val="20"/>
        </w:rPr>
      </w:pPr>
      <w:r w:rsidRPr="00DE194C">
        <w:rPr>
          <w:rFonts w:ascii="Arial" w:hAnsi="Arial" w:cs="Arial"/>
          <w:sz w:val="20"/>
          <w:szCs w:val="20"/>
        </w:rPr>
        <w:t>The Board, in conjunction with stakeholders and their PBMs, would also establish a Maximum Allow Cost (MAC) List.</w:t>
      </w:r>
      <w:r w:rsidR="00C476BA">
        <w:rPr>
          <w:rFonts w:ascii="Arial" w:hAnsi="Arial" w:cs="Arial"/>
          <w:sz w:val="20"/>
          <w:szCs w:val="20"/>
        </w:rPr>
        <w:t xml:space="preserve"> </w:t>
      </w:r>
      <w:r w:rsidRPr="00DE194C">
        <w:rPr>
          <w:rFonts w:ascii="Arial" w:hAnsi="Arial" w:cs="Arial"/>
          <w:sz w:val="20"/>
          <w:szCs w:val="20"/>
        </w:rPr>
        <w:t>The MAC list generally refers to a list of products that includes the upper limit or maximum amount that a plan will pay for generic drugs and brand name drugs that have generic versions available (multi-source brands).</w:t>
      </w:r>
      <w:r w:rsidR="00C476BA">
        <w:rPr>
          <w:rFonts w:ascii="Arial" w:hAnsi="Arial" w:cs="Arial"/>
          <w:sz w:val="20"/>
          <w:szCs w:val="20"/>
        </w:rPr>
        <w:t xml:space="preserve"> </w:t>
      </w:r>
    </w:p>
    <w:p w14:paraId="64EC8A44" w14:textId="16DE798F" w:rsidR="00AB2AC5" w:rsidRPr="00DE194C" w:rsidRDefault="00AB2AC5" w:rsidP="004B33FF">
      <w:pPr>
        <w:pStyle w:val="ListParagraph"/>
        <w:numPr>
          <w:ilvl w:val="0"/>
          <w:numId w:val="12"/>
        </w:numPr>
        <w:spacing w:before="80" w:after="0"/>
        <w:contextualSpacing w:val="0"/>
        <w:rPr>
          <w:rFonts w:ascii="Arial" w:hAnsi="Arial" w:cs="Arial"/>
          <w:sz w:val="20"/>
          <w:szCs w:val="20"/>
        </w:rPr>
      </w:pPr>
      <w:r w:rsidRPr="00DE194C">
        <w:rPr>
          <w:rFonts w:ascii="Arial" w:hAnsi="Arial" w:cs="Arial"/>
          <w:sz w:val="20"/>
          <w:szCs w:val="20"/>
        </w:rPr>
        <w:t>Some of the factors that would be considered when setting prices and choosing products for inclusion on the MAC list are: availability of the product in the marketplace; whether the product is available from more than one manufacturer; how the product is rated by the FDA in relation to the brand drug, and price differences between the brand and generic products.</w:t>
      </w:r>
      <w:r w:rsidR="00C476BA">
        <w:rPr>
          <w:rFonts w:ascii="Arial" w:hAnsi="Arial" w:cs="Arial"/>
          <w:sz w:val="20"/>
          <w:szCs w:val="20"/>
        </w:rPr>
        <w:t xml:space="preserve"> </w:t>
      </w:r>
    </w:p>
    <w:p w14:paraId="61814A83" w14:textId="0517467E" w:rsidR="00AB2AC5" w:rsidRPr="00DE194C" w:rsidRDefault="00AB2AC5" w:rsidP="004B33FF">
      <w:pPr>
        <w:pStyle w:val="ListParagraph"/>
        <w:numPr>
          <w:ilvl w:val="0"/>
          <w:numId w:val="11"/>
        </w:numPr>
        <w:spacing w:before="120" w:after="0"/>
        <w:contextualSpacing w:val="0"/>
        <w:rPr>
          <w:rFonts w:ascii="Arial" w:hAnsi="Arial" w:cs="Arial"/>
          <w:sz w:val="20"/>
          <w:szCs w:val="20"/>
        </w:rPr>
      </w:pPr>
      <w:r w:rsidRPr="00DE194C">
        <w:rPr>
          <w:rFonts w:ascii="Arial" w:hAnsi="Arial" w:cs="Arial"/>
          <w:sz w:val="20"/>
          <w:szCs w:val="20"/>
        </w:rPr>
        <w:t>The concept of reimbursement at the lesser of contractual allowance, or “usual and customary”, should be introduced as well.</w:t>
      </w:r>
      <w:r w:rsidR="00C476BA">
        <w:rPr>
          <w:rFonts w:ascii="Arial" w:hAnsi="Arial" w:cs="Arial"/>
          <w:sz w:val="20"/>
          <w:szCs w:val="20"/>
        </w:rPr>
        <w:t xml:space="preserve"> </w:t>
      </w:r>
    </w:p>
    <w:p w14:paraId="38146E70" w14:textId="100E63FE" w:rsidR="00AB2AC5" w:rsidRPr="00DE194C" w:rsidRDefault="00C476BA" w:rsidP="004B33FF">
      <w:pPr>
        <w:pStyle w:val="header3"/>
      </w:pPr>
      <w:r>
        <w:t xml:space="preserve"> </w:t>
      </w:r>
      <w:r w:rsidR="00AB2AC5" w:rsidRPr="00DE194C">
        <w:t>Establish a Workers’ Compensation Prescription Drug Formulary</w:t>
      </w:r>
    </w:p>
    <w:p w14:paraId="02DD9948" w14:textId="77777777" w:rsidR="00AB2AC5" w:rsidRPr="00DE194C" w:rsidRDefault="00AB2AC5" w:rsidP="004B33FF">
      <w:pPr>
        <w:pStyle w:val="ListParagraph"/>
        <w:numPr>
          <w:ilvl w:val="0"/>
          <w:numId w:val="13"/>
        </w:numPr>
        <w:spacing w:before="120" w:after="0"/>
        <w:contextualSpacing w:val="0"/>
        <w:rPr>
          <w:rFonts w:ascii="Arial" w:hAnsi="Arial" w:cs="Arial"/>
          <w:sz w:val="20"/>
          <w:szCs w:val="20"/>
        </w:rPr>
      </w:pPr>
      <w:r w:rsidRPr="00DE194C">
        <w:rPr>
          <w:rFonts w:ascii="Arial" w:hAnsi="Arial" w:cs="Arial"/>
          <w:sz w:val="20"/>
          <w:szCs w:val="20"/>
        </w:rPr>
        <w:t xml:space="preserve">A prescription drug formulary is a listing of medications that are approved to be prescribed/dispensed under a particular insurance plan. </w:t>
      </w:r>
    </w:p>
    <w:p w14:paraId="0A4E036D" w14:textId="77777777" w:rsidR="00AB2AC5" w:rsidRPr="00DE194C" w:rsidRDefault="00AB2AC5" w:rsidP="004B33FF">
      <w:pPr>
        <w:pStyle w:val="ListParagraph"/>
        <w:numPr>
          <w:ilvl w:val="0"/>
          <w:numId w:val="14"/>
        </w:numPr>
        <w:spacing w:before="80" w:after="0"/>
        <w:contextualSpacing w:val="0"/>
        <w:rPr>
          <w:rFonts w:ascii="Arial" w:hAnsi="Arial" w:cs="Arial"/>
          <w:sz w:val="20"/>
          <w:szCs w:val="20"/>
        </w:rPr>
      </w:pPr>
      <w:r w:rsidRPr="00DE194C">
        <w:rPr>
          <w:rFonts w:ascii="Arial" w:hAnsi="Arial" w:cs="Arial"/>
          <w:sz w:val="20"/>
          <w:szCs w:val="20"/>
        </w:rPr>
        <w:t>Formulary development and maintenance is a</w:t>
      </w:r>
      <w:r w:rsidRPr="00DE194C">
        <w:rPr>
          <w:rFonts w:ascii="Arial" w:hAnsi="Arial" w:cs="Arial"/>
          <w:color w:val="FF0000"/>
          <w:sz w:val="20"/>
          <w:szCs w:val="20"/>
        </w:rPr>
        <w:t xml:space="preserve"> </w:t>
      </w:r>
      <w:r w:rsidRPr="00DE194C">
        <w:rPr>
          <w:rFonts w:ascii="Arial" w:hAnsi="Arial" w:cs="Arial"/>
          <w:sz w:val="20"/>
          <w:szCs w:val="20"/>
        </w:rPr>
        <w:t>dynamic process.</w:t>
      </w:r>
    </w:p>
    <w:p w14:paraId="6DE61CC7" w14:textId="77777777" w:rsidR="00AB2AC5" w:rsidRPr="00DE194C" w:rsidRDefault="00AB2AC5" w:rsidP="004B33FF">
      <w:pPr>
        <w:pStyle w:val="ListParagraph"/>
        <w:numPr>
          <w:ilvl w:val="0"/>
          <w:numId w:val="14"/>
        </w:numPr>
        <w:spacing w:before="80" w:after="0"/>
        <w:contextualSpacing w:val="0"/>
        <w:rPr>
          <w:rFonts w:ascii="Arial" w:hAnsi="Arial" w:cs="Arial"/>
          <w:sz w:val="20"/>
          <w:szCs w:val="20"/>
        </w:rPr>
      </w:pPr>
      <w:r w:rsidRPr="00DE194C">
        <w:rPr>
          <w:rFonts w:ascii="Arial" w:hAnsi="Arial" w:cs="Arial"/>
          <w:sz w:val="20"/>
          <w:szCs w:val="20"/>
        </w:rPr>
        <w:t xml:space="preserve">Selection of products for inclusion in the formulary is based, first on clinical efficacy and safety, and then on cost-effectiveness of the drug. </w:t>
      </w:r>
    </w:p>
    <w:p w14:paraId="2FEAE742" w14:textId="77777777" w:rsidR="00AB2AC5" w:rsidRPr="00DE194C" w:rsidRDefault="00AB2AC5" w:rsidP="004B33FF">
      <w:pPr>
        <w:pStyle w:val="ListParagraph"/>
        <w:numPr>
          <w:ilvl w:val="0"/>
          <w:numId w:val="14"/>
        </w:numPr>
        <w:spacing w:before="80" w:after="0"/>
        <w:contextualSpacing w:val="0"/>
        <w:rPr>
          <w:rFonts w:ascii="Arial" w:hAnsi="Arial" w:cs="Arial"/>
          <w:sz w:val="20"/>
          <w:szCs w:val="20"/>
        </w:rPr>
      </w:pPr>
      <w:r w:rsidRPr="00DE194C">
        <w:rPr>
          <w:rFonts w:ascii="Arial" w:hAnsi="Arial" w:cs="Arial"/>
          <w:sz w:val="20"/>
          <w:szCs w:val="20"/>
        </w:rPr>
        <w:t>Drugs may be assigned to tiers or levels so that preferred drugs can be prescribed without additional approval and other drugs would require pre-approval.</w:t>
      </w:r>
    </w:p>
    <w:p w14:paraId="61B6ABF6" w14:textId="77777777" w:rsidR="00AB2AC5" w:rsidRPr="00DE194C" w:rsidRDefault="00AB2AC5" w:rsidP="004B33FF">
      <w:pPr>
        <w:pStyle w:val="ListParagraph"/>
        <w:numPr>
          <w:ilvl w:val="0"/>
          <w:numId w:val="14"/>
        </w:numPr>
        <w:spacing w:before="80" w:after="0"/>
        <w:contextualSpacing w:val="0"/>
        <w:rPr>
          <w:rFonts w:ascii="Arial" w:hAnsi="Arial" w:cs="Arial"/>
          <w:sz w:val="20"/>
          <w:szCs w:val="20"/>
        </w:rPr>
      </w:pPr>
      <w:r w:rsidRPr="00DE194C">
        <w:rPr>
          <w:rFonts w:ascii="Arial" w:hAnsi="Arial" w:cs="Arial"/>
          <w:sz w:val="20"/>
          <w:szCs w:val="20"/>
        </w:rPr>
        <w:t>The preferred drugs would correlate with the Board’s MTG’s recommendations.</w:t>
      </w:r>
    </w:p>
    <w:p w14:paraId="37EFE62B" w14:textId="1BB2F7A6" w:rsidR="00AB2AC5" w:rsidRPr="00DE194C" w:rsidRDefault="00AB2AC5" w:rsidP="004B33FF">
      <w:pPr>
        <w:pStyle w:val="ListParagraph"/>
        <w:numPr>
          <w:ilvl w:val="0"/>
          <w:numId w:val="13"/>
        </w:numPr>
        <w:spacing w:before="120" w:after="0"/>
        <w:contextualSpacing w:val="0"/>
        <w:rPr>
          <w:rFonts w:ascii="Arial" w:hAnsi="Arial" w:cs="Arial"/>
          <w:sz w:val="20"/>
          <w:szCs w:val="20"/>
        </w:rPr>
      </w:pPr>
      <w:r w:rsidRPr="00DE194C">
        <w:rPr>
          <w:rFonts w:ascii="Arial" w:hAnsi="Arial" w:cs="Arial"/>
          <w:sz w:val="20"/>
          <w:szCs w:val="20"/>
        </w:rPr>
        <w:lastRenderedPageBreak/>
        <w:t>The PBMs would also be responsible for administering a prescription drug rebate program (i.e. to work with drug manufacturers to negotiate rebates for formulary items).</w:t>
      </w:r>
      <w:r w:rsidR="00C476BA">
        <w:rPr>
          <w:rFonts w:ascii="Arial" w:hAnsi="Arial" w:cs="Arial"/>
          <w:sz w:val="20"/>
          <w:szCs w:val="20"/>
        </w:rPr>
        <w:t xml:space="preserve"> </w:t>
      </w:r>
    </w:p>
    <w:p w14:paraId="095DC562" w14:textId="77777777" w:rsidR="00AB2AC5" w:rsidRPr="00DE194C" w:rsidRDefault="00AB2AC5" w:rsidP="004B33FF">
      <w:pPr>
        <w:pStyle w:val="ListParagraph"/>
        <w:numPr>
          <w:ilvl w:val="0"/>
          <w:numId w:val="15"/>
        </w:numPr>
        <w:spacing w:before="80" w:after="0"/>
        <w:contextualSpacing w:val="0"/>
        <w:rPr>
          <w:rFonts w:ascii="Arial" w:hAnsi="Arial" w:cs="Arial"/>
          <w:sz w:val="20"/>
          <w:szCs w:val="20"/>
        </w:rPr>
      </w:pPr>
      <w:r w:rsidRPr="00DE194C">
        <w:rPr>
          <w:rFonts w:ascii="Arial" w:hAnsi="Arial" w:cs="Arial"/>
          <w:sz w:val="20"/>
          <w:szCs w:val="20"/>
        </w:rPr>
        <w:t>The rebate program would be utilized to offset the total overall cost of the medications.</w:t>
      </w:r>
    </w:p>
    <w:p w14:paraId="6D69F832" w14:textId="77777777" w:rsidR="00AB2AC5" w:rsidRPr="00DE194C" w:rsidRDefault="00AB2AC5" w:rsidP="004B33FF">
      <w:pPr>
        <w:pStyle w:val="ListParagraph"/>
        <w:numPr>
          <w:ilvl w:val="0"/>
          <w:numId w:val="13"/>
        </w:numPr>
        <w:spacing w:before="120" w:after="0"/>
        <w:contextualSpacing w:val="0"/>
        <w:rPr>
          <w:rFonts w:ascii="Arial" w:hAnsi="Arial" w:cs="Arial"/>
          <w:sz w:val="20"/>
          <w:szCs w:val="20"/>
        </w:rPr>
      </w:pPr>
      <w:r w:rsidRPr="00DE194C">
        <w:rPr>
          <w:rFonts w:ascii="Arial" w:hAnsi="Arial" w:cs="Arial"/>
          <w:sz w:val="20"/>
          <w:szCs w:val="20"/>
        </w:rPr>
        <w:t>Administration of a pre-approval program for non-preferred and non-formulary medications would also be the responsibility of the PBM.</w:t>
      </w:r>
    </w:p>
    <w:p w14:paraId="15638DD4" w14:textId="77777777" w:rsidR="00AB2AC5" w:rsidRPr="00DE194C" w:rsidRDefault="00AB2AC5" w:rsidP="004B33FF">
      <w:pPr>
        <w:pStyle w:val="ListParagraph"/>
        <w:numPr>
          <w:ilvl w:val="0"/>
          <w:numId w:val="13"/>
        </w:numPr>
        <w:spacing w:before="120" w:after="0"/>
        <w:contextualSpacing w:val="0"/>
        <w:rPr>
          <w:rFonts w:ascii="Arial" w:hAnsi="Arial" w:cs="Arial"/>
          <w:sz w:val="20"/>
          <w:szCs w:val="20"/>
        </w:rPr>
      </w:pPr>
      <w:r w:rsidRPr="00DE194C">
        <w:rPr>
          <w:rFonts w:ascii="Arial" w:hAnsi="Arial" w:cs="Arial"/>
          <w:sz w:val="20"/>
          <w:szCs w:val="20"/>
        </w:rPr>
        <w:t>The formulary would establish criteria related to the prescribing of medications.</w:t>
      </w:r>
    </w:p>
    <w:p w14:paraId="2744B4A4" w14:textId="39226B0C" w:rsidR="00AB2AC5" w:rsidRPr="00DE194C" w:rsidRDefault="00AB2AC5" w:rsidP="004B33FF">
      <w:pPr>
        <w:pStyle w:val="ListParagraph"/>
        <w:numPr>
          <w:ilvl w:val="0"/>
          <w:numId w:val="16"/>
        </w:numPr>
        <w:spacing w:before="80" w:after="0"/>
        <w:contextualSpacing w:val="0"/>
        <w:rPr>
          <w:rFonts w:ascii="Arial" w:hAnsi="Arial" w:cs="Arial"/>
          <w:sz w:val="20"/>
          <w:szCs w:val="20"/>
        </w:rPr>
      </w:pPr>
      <w:r w:rsidRPr="00DE194C">
        <w:rPr>
          <w:rFonts w:ascii="Arial" w:hAnsi="Arial" w:cs="Arial"/>
          <w:sz w:val="20"/>
          <w:szCs w:val="20"/>
        </w:rPr>
        <w:t>One such requirement should be that medications that are covered under the program must be delivered via a FDA-approved administration route for the prescribed product. This would serve to eliminate the prescribing of treatment modalities of questionable efficacy (i.e., administering medications approved for oral administration via the transdermal route).</w:t>
      </w:r>
      <w:r w:rsidR="00C476BA">
        <w:rPr>
          <w:rFonts w:ascii="Arial" w:hAnsi="Arial" w:cs="Arial"/>
          <w:sz w:val="20"/>
          <w:szCs w:val="20"/>
        </w:rPr>
        <w:t xml:space="preserve"> </w:t>
      </w:r>
    </w:p>
    <w:p w14:paraId="11D2BB04" w14:textId="3483190C" w:rsidR="00AB2AC5" w:rsidRPr="00DE194C" w:rsidRDefault="00AB2AC5" w:rsidP="004B33FF">
      <w:pPr>
        <w:pStyle w:val="ListParagraph"/>
        <w:numPr>
          <w:ilvl w:val="0"/>
          <w:numId w:val="13"/>
        </w:numPr>
        <w:spacing w:before="120" w:after="0"/>
        <w:contextualSpacing w:val="0"/>
        <w:rPr>
          <w:rFonts w:ascii="Arial" w:hAnsi="Arial" w:cs="Arial"/>
          <w:sz w:val="20"/>
          <w:szCs w:val="20"/>
        </w:rPr>
      </w:pPr>
      <w:r w:rsidRPr="00DE194C">
        <w:rPr>
          <w:rFonts w:ascii="Arial" w:hAnsi="Arial" w:cs="Arial"/>
          <w:sz w:val="20"/>
          <w:szCs w:val="20"/>
        </w:rPr>
        <w:t>Additionally, the formulary would establish and implement standards for prescribing medication.</w:t>
      </w:r>
      <w:r w:rsidR="00C476BA">
        <w:rPr>
          <w:rFonts w:ascii="Arial" w:hAnsi="Arial" w:cs="Arial"/>
          <w:sz w:val="20"/>
          <w:szCs w:val="20"/>
        </w:rPr>
        <w:t xml:space="preserve"> </w:t>
      </w:r>
      <w:r w:rsidRPr="00DE194C">
        <w:rPr>
          <w:rFonts w:ascii="Arial" w:hAnsi="Arial" w:cs="Arial"/>
          <w:sz w:val="20"/>
          <w:szCs w:val="20"/>
        </w:rPr>
        <w:t>Such standards should include:</w:t>
      </w:r>
    </w:p>
    <w:p w14:paraId="5C5D4E36" w14:textId="77777777" w:rsidR="00AB2AC5" w:rsidRPr="00DE194C" w:rsidRDefault="00AB2AC5" w:rsidP="004B33FF">
      <w:pPr>
        <w:pStyle w:val="ListParagraph"/>
        <w:numPr>
          <w:ilvl w:val="0"/>
          <w:numId w:val="17"/>
        </w:numPr>
        <w:spacing w:before="80" w:after="0"/>
        <w:contextualSpacing w:val="0"/>
        <w:rPr>
          <w:rFonts w:ascii="Arial" w:hAnsi="Arial" w:cs="Arial"/>
          <w:sz w:val="20"/>
          <w:szCs w:val="20"/>
        </w:rPr>
      </w:pPr>
      <w:r w:rsidRPr="00DE194C">
        <w:rPr>
          <w:rFonts w:ascii="Arial" w:hAnsi="Arial" w:cs="Arial"/>
          <w:sz w:val="20"/>
          <w:szCs w:val="20"/>
        </w:rPr>
        <w:t>Maximum days’ supply.</w:t>
      </w:r>
    </w:p>
    <w:p w14:paraId="028E4B95" w14:textId="77777777" w:rsidR="00AB2AC5" w:rsidRPr="00DE194C" w:rsidRDefault="00AB2AC5" w:rsidP="004B33FF">
      <w:pPr>
        <w:pStyle w:val="ListParagraph"/>
        <w:numPr>
          <w:ilvl w:val="0"/>
          <w:numId w:val="17"/>
        </w:numPr>
        <w:spacing w:before="80" w:after="0"/>
        <w:contextualSpacing w:val="0"/>
        <w:rPr>
          <w:rFonts w:ascii="Arial" w:hAnsi="Arial" w:cs="Arial"/>
          <w:sz w:val="20"/>
          <w:szCs w:val="20"/>
        </w:rPr>
      </w:pPr>
      <w:r w:rsidRPr="00DE194C">
        <w:rPr>
          <w:rFonts w:ascii="Arial" w:hAnsi="Arial" w:cs="Arial"/>
          <w:sz w:val="20"/>
          <w:szCs w:val="20"/>
        </w:rPr>
        <w:t>Quantity limits.</w:t>
      </w:r>
    </w:p>
    <w:p w14:paraId="27F63E11" w14:textId="77777777" w:rsidR="00AB2AC5" w:rsidRPr="00DE194C" w:rsidRDefault="00AB2AC5" w:rsidP="004B33FF">
      <w:pPr>
        <w:pStyle w:val="ListParagraph"/>
        <w:numPr>
          <w:ilvl w:val="0"/>
          <w:numId w:val="17"/>
        </w:numPr>
        <w:spacing w:before="80" w:after="0"/>
        <w:contextualSpacing w:val="0"/>
        <w:rPr>
          <w:rFonts w:ascii="Arial" w:hAnsi="Arial" w:cs="Arial"/>
          <w:sz w:val="20"/>
          <w:szCs w:val="20"/>
        </w:rPr>
      </w:pPr>
      <w:r w:rsidRPr="00DE194C">
        <w:rPr>
          <w:rFonts w:ascii="Arial" w:hAnsi="Arial" w:cs="Arial"/>
          <w:sz w:val="20"/>
          <w:szCs w:val="20"/>
        </w:rPr>
        <w:t>Mandatory generic prescribing.</w:t>
      </w:r>
    </w:p>
    <w:p w14:paraId="2CB7C8BA" w14:textId="77777777" w:rsidR="00AB2AC5" w:rsidRPr="00DE194C" w:rsidRDefault="00AB2AC5" w:rsidP="004B33FF">
      <w:pPr>
        <w:pStyle w:val="ListParagraph"/>
        <w:numPr>
          <w:ilvl w:val="0"/>
          <w:numId w:val="17"/>
        </w:numPr>
        <w:spacing w:before="80" w:after="0"/>
        <w:contextualSpacing w:val="0"/>
        <w:rPr>
          <w:rFonts w:ascii="Arial" w:hAnsi="Arial" w:cs="Arial"/>
          <w:sz w:val="20"/>
          <w:szCs w:val="20"/>
        </w:rPr>
      </w:pPr>
      <w:r w:rsidRPr="00DE194C">
        <w:rPr>
          <w:rFonts w:ascii="Arial" w:hAnsi="Arial" w:cs="Arial"/>
          <w:sz w:val="20"/>
          <w:szCs w:val="20"/>
        </w:rPr>
        <w:t xml:space="preserve">Maximum requested refills per month (i.e. when compounded topical preparations are pre-approved, ensure that the prescription quantity is sufficient to provide a month’s supply to the patient, or other quantity as approved via the pre-approval process). </w:t>
      </w:r>
    </w:p>
    <w:p w14:paraId="219C5B0B" w14:textId="465A719D" w:rsidR="00AB2AC5" w:rsidRPr="00DE194C" w:rsidRDefault="00C476BA" w:rsidP="004B33FF">
      <w:pPr>
        <w:pStyle w:val="header3"/>
      </w:pPr>
      <w:r>
        <w:t xml:space="preserve"> </w:t>
      </w:r>
      <w:r w:rsidR="00AB2AC5" w:rsidRPr="00DE194C">
        <w:t>Pre-Approval Program</w:t>
      </w:r>
    </w:p>
    <w:p w14:paraId="065D75D0" w14:textId="30CFA822" w:rsidR="00AB2AC5" w:rsidRPr="00DE194C" w:rsidRDefault="00AB2AC5" w:rsidP="004B33FF">
      <w:pPr>
        <w:pStyle w:val="ListParagraph"/>
        <w:numPr>
          <w:ilvl w:val="0"/>
          <w:numId w:val="18"/>
        </w:numPr>
        <w:spacing w:before="120" w:after="0"/>
        <w:contextualSpacing w:val="0"/>
        <w:rPr>
          <w:rFonts w:ascii="Arial" w:hAnsi="Arial" w:cs="Arial"/>
          <w:sz w:val="20"/>
          <w:szCs w:val="20"/>
        </w:rPr>
      </w:pPr>
      <w:r w:rsidRPr="00DE194C">
        <w:rPr>
          <w:rFonts w:ascii="Arial" w:hAnsi="Arial" w:cs="Arial"/>
          <w:sz w:val="20"/>
          <w:szCs w:val="20"/>
        </w:rPr>
        <w:t>A pre-approval program should be implemented as part of the PBM’s scope of services.</w:t>
      </w:r>
      <w:r w:rsidR="00C476BA">
        <w:rPr>
          <w:rFonts w:ascii="Arial" w:hAnsi="Arial" w:cs="Arial"/>
          <w:sz w:val="20"/>
          <w:szCs w:val="20"/>
        </w:rPr>
        <w:t xml:space="preserve"> </w:t>
      </w:r>
    </w:p>
    <w:p w14:paraId="4A7D649C" w14:textId="1167A034" w:rsidR="00AB2AC5" w:rsidRPr="00DE194C" w:rsidRDefault="00AB2AC5" w:rsidP="004B33FF">
      <w:pPr>
        <w:pStyle w:val="ListParagraph"/>
        <w:numPr>
          <w:ilvl w:val="0"/>
          <w:numId w:val="18"/>
        </w:numPr>
        <w:spacing w:before="120" w:after="0"/>
        <w:contextualSpacing w:val="0"/>
        <w:rPr>
          <w:rFonts w:ascii="Arial" w:hAnsi="Arial" w:cs="Arial"/>
          <w:sz w:val="20"/>
          <w:szCs w:val="20"/>
        </w:rPr>
      </w:pPr>
      <w:r w:rsidRPr="00DE194C">
        <w:rPr>
          <w:rFonts w:ascii="Arial" w:hAnsi="Arial" w:cs="Arial"/>
          <w:sz w:val="20"/>
          <w:szCs w:val="20"/>
        </w:rPr>
        <w:t>Pre-approval is an approach used by payers to decide if they are going to pay for a particular medication for a particular patient in a particular instance before the drug is dispensed.</w:t>
      </w:r>
      <w:r w:rsidR="00C476BA">
        <w:rPr>
          <w:rFonts w:ascii="Arial" w:hAnsi="Arial" w:cs="Arial"/>
          <w:sz w:val="20"/>
          <w:szCs w:val="20"/>
        </w:rPr>
        <w:t xml:space="preserve"> </w:t>
      </w:r>
    </w:p>
    <w:p w14:paraId="4789896A" w14:textId="77777777" w:rsidR="00AB2AC5" w:rsidRPr="00DE194C" w:rsidRDefault="00AB2AC5" w:rsidP="004B33FF">
      <w:pPr>
        <w:pStyle w:val="ListParagraph"/>
        <w:numPr>
          <w:ilvl w:val="0"/>
          <w:numId w:val="18"/>
        </w:numPr>
        <w:spacing w:before="120" w:after="0"/>
        <w:contextualSpacing w:val="0"/>
        <w:rPr>
          <w:rFonts w:ascii="Arial" w:hAnsi="Arial" w:cs="Arial"/>
          <w:sz w:val="20"/>
          <w:szCs w:val="20"/>
        </w:rPr>
      </w:pPr>
      <w:r w:rsidRPr="00DE194C">
        <w:rPr>
          <w:rFonts w:ascii="Arial" w:hAnsi="Arial" w:cs="Arial"/>
          <w:sz w:val="20"/>
          <w:szCs w:val="20"/>
        </w:rPr>
        <w:t>It is incumbent on the prescribing physician to obtain pre-approval based upon the WCB established formulary.</w:t>
      </w:r>
    </w:p>
    <w:p w14:paraId="0269920F" w14:textId="77777777" w:rsidR="00AB2AC5" w:rsidRPr="00DE194C" w:rsidRDefault="00AB2AC5" w:rsidP="004B33FF">
      <w:pPr>
        <w:pStyle w:val="ListParagraph"/>
        <w:numPr>
          <w:ilvl w:val="0"/>
          <w:numId w:val="18"/>
        </w:numPr>
        <w:spacing w:before="120" w:after="0"/>
        <w:contextualSpacing w:val="0"/>
        <w:rPr>
          <w:rFonts w:ascii="Arial" w:hAnsi="Arial" w:cs="Arial"/>
          <w:sz w:val="20"/>
          <w:szCs w:val="20"/>
        </w:rPr>
      </w:pPr>
      <w:r w:rsidRPr="00DE194C">
        <w:rPr>
          <w:rFonts w:ascii="Arial" w:hAnsi="Arial" w:cs="Arial"/>
          <w:sz w:val="20"/>
          <w:szCs w:val="20"/>
        </w:rPr>
        <w:t>Examples of when pre-approval might be required include:</w:t>
      </w:r>
    </w:p>
    <w:p w14:paraId="2715082B" w14:textId="77777777" w:rsidR="00AB2AC5" w:rsidRPr="00DE194C" w:rsidRDefault="00AB2AC5" w:rsidP="004B33FF">
      <w:pPr>
        <w:pStyle w:val="ListParagraph"/>
        <w:numPr>
          <w:ilvl w:val="0"/>
          <w:numId w:val="4"/>
        </w:numPr>
        <w:spacing w:before="80" w:after="0"/>
        <w:contextualSpacing w:val="0"/>
        <w:rPr>
          <w:rFonts w:ascii="Arial" w:hAnsi="Arial" w:cs="Arial"/>
          <w:sz w:val="20"/>
          <w:szCs w:val="20"/>
        </w:rPr>
      </w:pPr>
      <w:r w:rsidRPr="00DE194C">
        <w:rPr>
          <w:rFonts w:ascii="Arial" w:hAnsi="Arial" w:cs="Arial"/>
          <w:sz w:val="20"/>
          <w:szCs w:val="20"/>
        </w:rPr>
        <w:t>Prescribing of a brand name product when a generic equivalent or generic therapeutic equivalent exists.</w:t>
      </w:r>
    </w:p>
    <w:p w14:paraId="6CE70E5F" w14:textId="77777777" w:rsidR="00AB2AC5" w:rsidRPr="00DE194C" w:rsidRDefault="00AB2AC5" w:rsidP="004B33FF">
      <w:pPr>
        <w:pStyle w:val="ListParagraph"/>
        <w:numPr>
          <w:ilvl w:val="0"/>
          <w:numId w:val="4"/>
        </w:numPr>
        <w:spacing w:before="80" w:after="0"/>
        <w:contextualSpacing w:val="0"/>
        <w:rPr>
          <w:rFonts w:ascii="Arial" w:hAnsi="Arial" w:cs="Arial"/>
          <w:sz w:val="20"/>
          <w:szCs w:val="20"/>
        </w:rPr>
      </w:pPr>
      <w:r w:rsidRPr="00DE194C">
        <w:rPr>
          <w:rFonts w:ascii="Arial" w:hAnsi="Arial" w:cs="Arial"/>
          <w:sz w:val="20"/>
          <w:szCs w:val="20"/>
        </w:rPr>
        <w:t>Costly medications; potentially including all medications over “X” dollars, all compounded products (including topical treatments), etc.</w:t>
      </w:r>
    </w:p>
    <w:p w14:paraId="771F3E8E" w14:textId="1C7856F1" w:rsidR="00AB2AC5" w:rsidRPr="00DE194C" w:rsidRDefault="00AB2AC5" w:rsidP="004B33FF">
      <w:pPr>
        <w:pStyle w:val="ListParagraph"/>
        <w:numPr>
          <w:ilvl w:val="0"/>
          <w:numId w:val="4"/>
        </w:numPr>
        <w:spacing w:before="80" w:after="0"/>
        <w:contextualSpacing w:val="0"/>
        <w:rPr>
          <w:rFonts w:ascii="Arial" w:hAnsi="Arial" w:cs="Arial"/>
          <w:sz w:val="20"/>
          <w:szCs w:val="20"/>
        </w:rPr>
      </w:pPr>
      <w:r w:rsidRPr="00DE194C">
        <w:rPr>
          <w:rFonts w:ascii="Arial" w:hAnsi="Arial" w:cs="Arial"/>
          <w:sz w:val="20"/>
          <w:szCs w:val="20"/>
        </w:rPr>
        <w:t>Drugs not on the formulary and identified as medically necessary by the prescriber.</w:t>
      </w:r>
      <w:r w:rsidR="00C476BA">
        <w:rPr>
          <w:rFonts w:ascii="Arial" w:hAnsi="Arial" w:cs="Arial"/>
          <w:sz w:val="20"/>
          <w:szCs w:val="20"/>
        </w:rPr>
        <w:t xml:space="preserve"> </w:t>
      </w:r>
      <w:r w:rsidRPr="00DE194C">
        <w:rPr>
          <w:rFonts w:ascii="Arial" w:hAnsi="Arial" w:cs="Arial"/>
          <w:sz w:val="20"/>
          <w:szCs w:val="20"/>
        </w:rPr>
        <w:t>Often more than one drug can be used to treat a particular medical condition.</w:t>
      </w:r>
      <w:r w:rsidR="00C476BA">
        <w:rPr>
          <w:rFonts w:ascii="Arial" w:hAnsi="Arial" w:cs="Arial"/>
          <w:sz w:val="20"/>
          <w:szCs w:val="20"/>
        </w:rPr>
        <w:t xml:space="preserve"> </w:t>
      </w:r>
      <w:r w:rsidRPr="00DE194C">
        <w:rPr>
          <w:rFonts w:ascii="Arial" w:hAnsi="Arial" w:cs="Arial"/>
          <w:sz w:val="20"/>
          <w:szCs w:val="20"/>
        </w:rPr>
        <w:t>If a prescriber requests a particular medication, the prescriber must justify why the requested drug is required and why the formulary drug(s) is/are not acceptable for the patient.</w:t>
      </w:r>
    </w:p>
    <w:p w14:paraId="04AFCB18" w14:textId="77777777" w:rsidR="00AB2AC5" w:rsidRPr="00DE194C" w:rsidRDefault="00AB2AC5" w:rsidP="004B33FF">
      <w:pPr>
        <w:pStyle w:val="ListParagraph"/>
        <w:numPr>
          <w:ilvl w:val="0"/>
          <w:numId w:val="4"/>
        </w:numPr>
        <w:spacing w:before="80" w:after="0"/>
        <w:contextualSpacing w:val="0"/>
        <w:rPr>
          <w:rFonts w:ascii="Arial" w:hAnsi="Arial" w:cs="Arial"/>
          <w:sz w:val="20"/>
          <w:szCs w:val="20"/>
        </w:rPr>
      </w:pPr>
      <w:r w:rsidRPr="00DE194C">
        <w:rPr>
          <w:rFonts w:ascii="Arial" w:hAnsi="Arial" w:cs="Arial"/>
          <w:sz w:val="20"/>
          <w:szCs w:val="20"/>
        </w:rPr>
        <w:t>The WCB will establish an appeals process that can be utilized by providers who are dissatisfied by the decision(s) of the PBM.</w:t>
      </w:r>
    </w:p>
    <w:p w14:paraId="670F14C9" w14:textId="77777777" w:rsidR="00AB2AC5" w:rsidRPr="00DE194C" w:rsidRDefault="00AB2AC5" w:rsidP="004B33FF">
      <w:pPr>
        <w:pStyle w:val="ListParagraph"/>
        <w:numPr>
          <w:ilvl w:val="0"/>
          <w:numId w:val="4"/>
        </w:numPr>
        <w:spacing w:before="80" w:after="0"/>
        <w:contextualSpacing w:val="0"/>
        <w:rPr>
          <w:rFonts w:ascii="Arial" w:hAnsi="Arial" w:cs="Arial"/>
          <w:sz w:val="20"/>
          <w:szCs w:val="20"/>
        </w:rPr>
      </w:pPr>
      <w:r w:rsidRPr="00DE194C">
        <w:rPr>
          <w:rFonts w:ascii="Arial" w:hAnsi="Arial" w:cs="Arial"/>
          <w:sz w:val="20"/>
          <w:szCs w:val="20"/>
        </w:rPr>
        <w:t>Drugs usually covered by the insurance company but are being used at a dose higher than “normal.”</w:t>
      </w:r>
    </w:p>
    <w:p w14:paraId="536B3323" w14:textId="2674E815" w:rsidR="00AB2AC5" w:rsidRPr="004B33FF" w:rsidRDefault="00AB2AC5" w:rsidP="004B33FF">
      <w:pPr>
        <w:pStyle w:val="ListParagraph"/>
        <w:numPr>
          <w:ilvl w:val="0"/>
          <w:numId w:val="4"/>
        </w:numPr>
        <w:spacing w:before="80" w:after="0"/>
        <w:contextualSpacing w:val="0"/>
        <w:rPr>
          <w:rFonts w:ascii="Arial" w:hAnsi="Arial" w:cs="Arial"/>
          <w:sz w:val="20"/>
          <w:szCs w:val="20"/>
        </w:rPr>
      </w:pPr>
      <w:r w:rsidRPr="00DE194C">
        <w:rPr>
          <w:rFonts w:ascii="Arial" w:hAnsi="Arial" w:cs="Arial"/>
          <w:sz w:val="20"/>
          <w:szCs w:val="20"/>
        </w:rPr>
        <w:t>Prescribing outside of the Board’s MTGs would be incorporated into the pre-approval program.</w:t>
      </w:r>
    </w:p>
    <w:p w14:paraId="52959D88" w14:textId="18A0BC02" w:rsidR="00AB2AC5" w:rsidRPr="00DE194C" w:rsidRDefault="00C476BA" w:rsidP="004B33FF">
      <w:pPr>
        <w:pStyle w:val="header3"/>
      </w:pPr>
      <w:r>
        <w:t xml:space="preserve"> </w:t>
      </w:r>
      <w:r w:rsidR="00AB2AC5" w:rsidRPr="00DE194C">
        <w:t>Drug Utilization Review (DUR)</w:t>
      </w:r>
    </w:p>
    <w:p w14:paraId="50C93FC0" w14:textId="23EF5FFE" w:rsidR="00AB2AC5" w:rsidRPr="00DE194C" w:rsidRDefault="00AB2AC5" w:rsidP="004B33FF">
      <w:pPr>
        <w:pStyle w:val="ListParagraph"/>
        <w:numPr>
          <w:ilvl w:val="0"/>
          <w:numId w:val="19"/>
        </w:numPr>
        <w:spacing w:before="120" w:after="0"/>
        <w:contextualSpacing w:val="0"/>
        <w:rPr>
          <w:rFonts w:ascii="Arial" w:hAnsi="Arial" w:cs="Arial"/>
          <w:sz w:val="20"/>
          <w:szCs w:val="20"/>
        </w:rPr>
      </w:pPr>
      <w:r w:rsidRPr="00DE194C">
        <w:rPr>
          <w:rFonts w:ascii="Arial" w:hAnsi="Arial" w:cs="Arial"/>
          <w:sz w:val="20"/>
          <w:szCs w:val="20"/>
        </w:rPr>
        <w:t>The PBM should implement a DUR on behalf of the payer.</w:t>
      </w:r>
      <w:r w:rsidR="00C476BA">
        <w:rPr>
          <w:rFonts w:ascii="Arial" w:hAnsi="Arial" w:cs="Arial"/>
          <w:sz w:val="20"/>
          <w:szCs w:val="20"/>
        </w:rPr>
        <w:t xml:space="preserve"> </w:t>
      </w:r>
    </w:p>
    <w:p w14:paraId="539F7E51" w14:textId="59F3DF24" w:rsidR="00AB2AC5" w:rsidRPr="00DE194C" w:rsidRDefault="00AB2AC5" w:rsidP="004B33FF">
      <w:pPr>
        <w:pStyle w:val="ListParagraph"/>
        <w:numPr>
          <w:ilvl w:val="0"/>
          <w:numId w:val="19"/>
        </w:numPr>
        <w:spacing w:before="120" w:after="0"/>
        <w:contextualSpacing w:val="0"/>
        <w:rPr>
          <w:rFonts w:ascii="Arial" w:hAnsi="Arial" w:cs="Arial"/>
          <w:sz w:val="20"/>
          <w:szCs w:val="20"/>
        </w:rPr>
      </w:pPr>
      <w:r w:rsidRPr="00DE194C">
        <w:rPr>
          <w:rFonts w:ascii="Arial" w:hAnsi="Arial" w:cs="Arial"/>
          <w:sz w:val="20"/>
          <w:szCs w:val="20"/>
        </w:rPr>
        <w:t>DUR programs help to ensure that prescriptions for outpatient drugs are appropriate, medically necessary, and not likely to result in adverse medical consequences and/or drug-drug interactions.</w:t>
      </w:r>
      <w:r w:rsidR="00C476BA">
        <w:rPr>
          <w:rFonts w:ascii="Arial" w:hAnsi="Arial" w:cs="Arial"/>
          <w:sz w:val="20"/>
          <w:szCs w:val="20"/>
        </w:rPr>
        <w:t xml:space="preserve"> </w:t>
      </w:r>
    </w:p>
    <w:p w14:paraId="28BDD3E7" w14:textId="343B595F" w:rsidR="00AB2AC5" w:rsidRPr="00DE194C" w:rsidRDefault="00AB2AC5" w:rsidP="004B33FF">
      <w:pPr>
        <w:pStyle w:val="ListParagraph"/>
        <w:numPr>
          <w:ilvl w:val="0"/>
          <w:numId w:val="19"/>
        </w:numPr>
        <w:spacing w:before="120" w:after="0"/>
        <w:contextualSpacing w:val="0"/>
        <w:rPr>
          <w:rFonts w:ascii="Arial" w:hAnsi="Arial" w:cs="Arial"/>
          <w:sz w:val="20"/>
          <w:szCs w:val="20"/>
        </w:rPr>
      </w:pPr>
      <w:r w:rsidRPr="00DE194C">
        <w:rPr>
          <w:rFonts w:ascii="Arial" w:hAnsi="Arial" w:cs="Arial"/>
          <w:sz w:val="20"/>
          <w:szCs w:val="20"/>
        </w:rPr>
        <w:lastRenderedPageBreak/>
        <w:t>DUR programs utilize professional medical protocols, computer technology and data processing to assist in the management of data regarding the prescribing of medications and the dispensing of prescriptions over periods of time.</w:t>
      </w:r>
      <w:r w:rsidR="00C476BA">
        <w:rPr>
          <w:rFonts w:ascii="Arial" w:hAnsi="Arial" w:cs="Arial"/>
          <w:sz w:val="20"/>
          <w:szCs w:val="20"/>
        </w:rPr>
        <w:t xml:space="preserve"> </w:t>
      </w:r>
    </w:p>
    <w:p w14:paraId="1576FCAB" w14:textId="77777777" w:rsidR="00AB2AC5" w:rsidRPr="00DE194C" w:rsidRDefault="00AB2AC5" w:rsidP="004B33FF">
      <w:pPr>
        <w:pStyle w:val="ListParagraph"/>
        <w:numPr>
          <w:ilvl w:val="0"/>
          <w:numId w:val="19"/>
        </w:numPr>
        <w:spacing w:before="120" w:after="0"/>
        <w:contextualSpacing w:val="0"/>
        <w:rPr>
          <w:rFonts w:ascii="Arial" w:hAnsi="Arial" w:cs="Arial"/>
          <w:sz w:val="20"/>
          <w:szCs w:val="20"/>
        </w:rPr>
      </w:pPr>
      <w:r w:rsidRPr="00DE194C">
        <w:rPr>
          <w:rFonts w:ascii="Arial" w:hAnsi="Arial" w:cs="Arial"/>
          <w:sz w:val="20"/>
          <w:szCs w:val="20"/>
        </w:rPr>
        <w:t>Responsibilities of DUR programs typically include:</w:t>
      </w:r>
    </w:p>
    <w:p w14:paraId="10C7E4FF" w14:textId="77777777" w:rsidR="00AB2AC5" w:rsidRPr="00DE194C" w:rsidRDefault="00AB2AC5" w:rsidP="004B33FF">
      <w:pPr>
        <w:pStyle w:val="ListParagraph"/>
        <w:numPr>
          <w:ilvl w:val="0"/>
          <w:numId w:val="20"/>
        </w:numPr>
        <w:spacing w:before="80" w:after="0"/>
        <w:contextualSpacing w:val="0"/>
        <w:rPr>
          <w:rFonts w:ascii="Arial" w:hAnsi="Arial" w:cs="Arial"/>
          <w:sz w:val="20"/>
          <w:szCs w:val="20"/>
        </w:rPr>
      </w:pPr>
      <w:r w:rsidRPr="00DE194C">
        <w:rPr>
          <w:rFonts w:ascii="Arial" w:hAnsi="Arial" w:cs="Arial"/>
          <w:sz w:val="20"/>
          <w:szCs w:val="20"/>
        </w:rPr>
        <w:t>Establishing and implementing medical standards and criteria for retrospective and concurrent DUR programs;</w:t>
      </w:r>
    </w:p>
    <w:p w14:paraId="5FA8B8F1" w14:textId="77777777" w:rsidR="00AB2AC5" w:rsidRPr="00DE194C" w:rsidRDefault="00AB2AC5" w:rsidP="004B33FF">
      <w:pPr>
        <w:pStyle w:val="ListParagraph"/>
        <w:numPr>
          <w:ilvl w:val="0"/>
          <w:numId w:val="20"/>
        </w:numPr>
        <w:spacing w:before="80" w:after="0"/>
        <w:contextualSpacing w:val="0"/>
        <w:rPr>
          <w:rFonts w:ascii="Arial" w:hAnsi="Arial" w:cs="Arial"/>
          <w:sz w:val="20"/>
          <w:szCs w:val="20"/>
        </w:rPr>
      </w:pPr>
      <w:r w:rsidRPr="00DE194C">
        <w:rPr>
          <w:rFonts w:ascii="Arial" w:hAnsi="Arial" w:cs="Arial"/>
          <w:sz w:val="20"/>
          <w:szCs w:val="20"/>
        </w:rPr>
        <w:t xml:space="preserve">Developing, selecting, applying and assessing education interventions for physicians, pharmacists and claimants that improve overall claimant population care; </w:t>
      </w:r>
    </w:p>
    <w:p w14:paraId="66CBD921" w14:textId="77777777" w:rsidR="00AB2AC5" w:rsidRPr="00DE194C" w:rsidRDefault="00AB2AC5" w:rsidP="004B33FF">
      <w:pPr>
        <w:pStyle w:val="ListParagraph"/>
        <w:numPr>
          <w:ilvl w:val="0"/>
          <w:numId w:val="20"/>
        </w:numPr>
        <w:spacing w:before="80" w:after="0"/>
        <w:contextualSpacing w:val="0"/>
        <w:rPr>
          <w:rFonts w:ascii="Arial" w:hAnsi="Arial" w:cs="Arial"/>
          <w:sz w:val="20"/>
          <w:szCs w:val="20"/>
        </w:rPr>
      </w:pPr>
      <w:r w:rsidRPr="00DE194C">
        <w:rPr>
          <w:rFonts w:ascii="Arial" w:hAnsi="Arial" w:cs="Arial"/>
          <w:sz w:val="20"/>
          <w:szCs w:val="20"/>
        </w:rPr>
        <w:t>Reviewing therapeutic classes subject to the preferred drug program; and</w:t>
      </w:r>
    </w:p>
    <w:p w14:paraId="3555B030" w14:textId="77777777" w:rsidR="00AB2AC5" w:rsidRPr="00DE194C" w:rsidRDefault="00AB2AC5" w:rsidP="004B33FF">
      <w:pPr>
        <w:pStyle w:val="ListParagraph"/>
        <w:numPr>
          <w:ilvl w:val="0"/>
          <w:numId w:val="20"/>
        </w:numPr>
        <w:spacing w:before="80" w:after="0"/>
        <w:contextualSpacing w:val="0"/>
        <w:rPr>
          <w:rFonts w:ascii="Arial" w:hAnsi="Arial" w:cs="Arial"/>
          <w:sz w:val="20"/>
          <w:szCs w:val="20"/>
        </w:rPr>
      </w:pPr>
      <w:r w:rsidRPr="00DE194C">
        <w:rPr>
          <w:rFonts w:ascii="Arial" w:hAnsi="Arial" w:cs="Arial"/>
          <w:sz w:val="20"/>
          <w:szCs w:val="20"/>
        </w:rPr>
        <w:t>Insuring compliance with Non-Acute Pain Opioid Monitoring recommendations and other MTGs accepted by the Board.</w:t>
      </w:r>
    </w:p>
    <w:p w14:paraId="5E5B22E9" w14:textId="3069D110" w:rsidR="00AB2AC5" w:rsidRPr="004B33FF" w:rsidRDefault="00AB2AC5" w:rsidP="004B33FF">
      <w:pPr>
        <w:pStyle w:val="ListParagraph"/>
        <w:numPr>
          <w:ilvl w:val="0"/>
          <w:numId w:val="19"/>
        </w:numPr>
        <w:spacing w:before="120" w:after="0"/>
        <w:contextualSpacing w:val="0"/>
        <w:rPr>
          <w:rFonts w:ascii="Arial" w:hAnsi="Arial" w:cs="Arial"/>
          <w:sz w:val="20"/>
          <w:szCs w:val="20"/>
        </w:rPr>
      </w:pPr>
      <w:r w:rsidRPr="00DE194C">
        <w:rPr>
          <w:rFonts w:ascii="Arial" w:hAnsi="Arial" w:cs="Arial"/>
          <w:sz w:val="20"/>
          <w:szCs w:val="20"/>
        </w:rPr>
        <w:t>The development and use of the Board’s MTGs should correlate with DUR activities.</w:t>
      </w:r>
      <w:r w:rsidR="00C476BA">
        <w:rPr>
          <w:rFonts w:ascii="Arial" w:hAnsi="Arial" w:cs="Arial"/>
          <w:sz w:val="20"/>
          <w:szCs w:val="20"/>
        </w:rPr>
        <w:t xml:space="preserve"> </w:t>
      </w:r>
    </w:p>
    <w:p w14:paraId="6957394E" w14:textId="42552C65" w:rsidR="00AB2AC5" w:rsidRPr="00DE194C" w:rsidRDefault="00C476BA" w:rsidP="004B33FF">
      <w:pPr>
        <w:pStyle w:val="header3"/>
      </w:pPr>
      <w:r>
        <w:t xml:space="preserve"> </w:t>
      </w:r>
      <w:r w:rsidR="00AB2AC5" w:rsidRPr="00DE194C">
        <w:t>Physician Dispensing</w:t>
      </w:r>
    </w:p>
    <w:p w14:paraId="523E5E6B" w14:textId="65E14D25" w:rsidR="00AB2AC5" w:rsidRPr="00DE194C" w:rsidRDefault="00AB2AC5" w:rsidP="004B33FF">
      <w:pPr>
        <w:pStyle w:val="ListParagraph"/>
        <w:numPr>
          <w:ilvl w:val="0"/>
          <w:numId w:val="21"/>
        </w:numPr>
        <w:spacing w:before="120" w:after="0"/>
        <w:contextualSpacing w:val="0"/>
        <w:rPr>
          <w:rFonts w:ascii="Arial" w:hAnsi="Arial" w:cs="Arial"/>
          <w:sz w:val="20"/>
          <w:szCs w:val="20"/>
        </w:rPr>
      </w:pPr>
      <w:r w:rsidRPr="00DE194C">
        <w:rPr>
          <w:rFonts w:ascii="Arial" w:hAnsi="Arial" w:cs="Arial"/>
          <w:sz w:val="20"/>
          <w:szCs w:val="20"/>
        </w:rPr>
        <w:t>Physician dispensing currently aligns with New York State Education rules, allowing a physician to dispense a 72-hour supply of a medication.</w:t>
      </w:r>
      <w:r w:rsidR="00C476BA">
        <w:rPr>
          <w:rFonts w:ascii="Arial" w:hAnsi="Arial" w:cs="Arial"/>
          <w:sz w:val="20"/>
          <w:szCs w:val="20"/>
        </w:rPr>
        <w:t xml:space="preserve"> </w:t>
      </w:r>
    </w:p>
    <w:p w14:paraId="3DB91D17" w14:textId="76935302" w:rsidR="00AB2AC5" w:rsidRPr="00DE194C" w:rsidRDefault="00AB2AC5" w:rsidP="004B33FF">
      <w:pPr>
        <w:pStyle w:val="ListParagraph"/>
        <w:numPr>
          <w:ilvl w:val="0"/>
          <w:numId w:val="21"/>
        </w:numPr>
        <w:spacing w:before="120" w:after="0"/>
        <w:contextualSpacing w:val="0"/>
        <w:rPr>
          <w:rFonts w:ascii="Arial" w:hAnsi="Arial" w:cs="Arial"/>
          <w:sz w:val="20"/>
          <w:szCs w:val="20"/>
        </w:rPr>
      </w:pPr>
      <w:r w:rsidRPr="00DE194C">
        <w:rPr>
          <w:rFonts w:ascii="Arial" w:hAnsi="Arial" w:cs="Arial"/>
          <w:sz w:val="20"/>
          <w:szCs w:val="20"/>
        </w:rPr>
        <w:t>The Board might consider limiting this to dispensing commercially available oral medications only and not allowing payment to physicians for dispensing compounded topical preparations.</w:t>
      </w:r>
      <w:r w:rsidR="00C476BA">
        <w:rPr>
          <w:rFonts w:ascii="Arial" w:hAnsi="Arial" w:cs="Arial"/>
          <w:sz w:val="20"/>
          <w:szCs w:val="20"/>
        </w:rPr>
        <w:t xml:space="preserve"> </w:t>
      </w:r>
    </w:p>
    <w:p w14:paraId="019DDC9E" w14:textId="77777777" w:rsidR="00AB2AC5" w:rsidRPr="00DE194C" w:rsidRDefault="00AB2AC5" w:rsidP="004B33FF">
      <w:pPr>
        <w:pStyle w:val="ListParagraph"/>
        <w:numPr>
          <w:ilvl w:val="0"/>
          <w:numId w:val="21"/>
        </w:numPr>
        <w:spacing w:before="120" w:after="0"/>
        <w:contextualSpacing w:val="0"/>
        <w:rPr>
          <w:rFonts w:ascii="Arial" w:hAnsi="Arial" w:cs="Arial"/>
          <w:sz w:val="20"/>
          <w:szCs w:val="20"/>
        </w:rPr>
      </w:pPr>
      <w:r w:rsidRPr="00DE194C">
        <w:rPr>
          <w:rFonts w:ascii="Arial" w:hAnsi="Arial" w:cs="Arial"/>
          <w:sz w:val="20"/>
          <w:szCs w:val="20"/>
        </w:rPr>
        <w:t>Reimbursement for physician dispensing should be comparable to that which would be made at a commercial pharmacy.</w:t>
      </w:r>
    </w:p>
    <w:p w14:paraId="20254409" w14:textId="77777777" w:rsidR="00AB2AC5" w:rsidRPr="004B33FF" w:rsidRDefault="00AB2AC5" w:rsidP="004B33FF">
      <w:pPr>
        <w:pStyle w:val="greyheader2"/>
        <w:rPr>
          <w:color w:val="7A9FA1"/>
        </w:rPr>
      </w:pPr>
      <w:r w:rsidRPr="004B33FF">
        <w:rPr>
          <w:color w:val="7A9FA1"/>
        </w:rPr>
        <w:t>Summary</w:t>
      </w:r>
    </w:p>
    <w:p w14:paraId="50AFCE4F" w14:textId="33D5BC7C" w:rsidR="00AB2AC5" w:rsidRPr="00DE194C" w:rsidRDefault="00AB2AC5" w:rsidP="004B33FF">
      <w:pPr>
        <w:spacing w:before="120"/>
        <w:rPr>
          <w:rFonts w:cs="Arial"/>
          <w:sz w:val="20"/>
          <w:szCs w:val="20"/>
        </w:rPr>
      </w:pPr>
      <w:r w:rsidRPr="00DE194C">
        <w:rPr>
          <w:rFonts w:cs="Arial"/>
          <w:sz w:val="20"/>
          <w:szCs w:val="20"/>
        </w:rPr>
        <w:t>The need to provide high-quality, cost-effective pharmaceutical care to claimants in New York’s workers’ compensation system continues to be a challenge.</w:t>
      </w:r>
      <w:r w:rsidR="00C476BA">
        <w:rPr>
          <w:rFonts w:cs="Arial"/>
          <w:sz w:val="20"/>
          <w:szCs w:val="20"/>
        </w:rPr>
        <w:t xml:space="preserve"> </w:t>
      </w:r>
      <w:r w:rsidRPr="00DE194C">
        <w:rPr>
          <w:rFonts w:cs="Arial"/>
          <w:sz w:val="20"/>
          <w:szCs w:val="20"/>
        </w:rPr>
        <w:t xml:space="preserve">Similar to other states, New York is challenged by the utilization of pharmaceutical products with questionable efficacy and increasing cost. </w:t>
      </w:r>
    </w:p>
    <w:p w14:paraId="038A8528" w14:textId="77777777" w:rsidR="00AB2AC5" w:rsidRPr="00DE194C" w:rsidRDefault="00AB2AC5" w:rsidP="004B33FF">
      <w:pPr>
        <w:spacing w:before="120"/>
        <w:rPr>
          <w:rFonts w:cs="Arial"/>
          <w:sz w:val="20"/>
          <w:szCs w:val="20"/>
        </w:rPr>
      </w:pPr>
      <w:r w:rsidRPr="00DE194C">
        <w:rPr>
          <w:rFonts w:cs="Arial"/>
          <w:sz w:val="20"/>
          <w:szCs w:val="20"/>
        </w:rPr>
        <w:t>The Board should work with Stakeholders to establish a comprehensive pharmacy benefit plan that will insure the availability high-quality, cost-effective medications for claimants, mitigate the limitations of the current benefit structure and increase agility in evaluating new drugs and responding to new pharmaceutical issues or concerns as they arise.</w:t>
      </w:r>
    </w:p>
    <w:p w14:paraId="7423003B" w14:textId="77777777" w:rsidR="00AB2AC5" w:rsidRDefault="00AB2AC5" w:rsidP="004B33FF">
      <w:pPr>
        <w:pStyle w:val="NoSpacing"/>
        <w:spacing w:before="120"/>
        <w:rPr>
          <w:rFonts w:ascii="Arial" w:hAnsi="Arial" w:cs="Arial"/>
          <w:sz w:val="20"/>
          <w:szCs w:val="20"/>
        </w:rPr>
      </w:pPr>
    </w:p>
    <w:p w14:paraId="49B4141D" w14:textId="77777777" w:rsidR="00A373FE" w:rsidRDefault="00A373FE" w:rsidP="004B33FF">
      <w:pPr>
        <w:pStyle w:val="NoSpacing"/>
        <w:spacing w:before="120"/>
        <w:rPr>
          <w:rFonts w:ascii="Arial" w:hAnsi="Arial" w:cs="Arial"/>
          <w:sz w:val="20"/>
          <w:szCs w:val="20"/>
        </w:rPr>
      </w:pPr>
    </w:p>
    <w:p w14:paraId="1C7480DE" w14:textId="77777777" w:rsidR="00A373FE" w:rsidRDefault="00A373FE" w:rsidP="004B33FF">
      <w:pPr>
        <w:pStyle w:val="NoSpacing"/>
        <w:spacing w:before="120"/>
        <w:rPr>
          <w:rFonts w:ascii="Arial" w:hAnsi="Arial" w:cs="Arial"/>
          <w:sz w:val="20"/>
          <w:szCs w:val="20"/>
        </w:rPr>
      </w:pPr>
    </w:p>
    <w:p w14:paraId="3C808071" w14:textId="77777777" w:rsidR="00A373FE" w:rsidRDefault="00A373FE" w:rsidP="004B33FF">
      <w:pPr>
        <w:pStyle w:val="NoSpacing"/>
        <w:spacing w:before="120"/>
        <w:rPr>
          <w:rFonts w:ascii="Arial" w:hAnsi="Arial" w:cs="Arial"/>
          <w:sz w:val="20"/>
          <w:szCs w:val="20"/>
        </w:rPr>
      </w:pPr>
    </w:p>
    <w:p w14:paraId="28CC46F2" w14:textId="77777777" w:rsidR="00A373FE" w:rsidRDefault="00A373FE" w:rsidP="004B33FF">
      <w:pPr>
        <w:pStyle w:val="NoSpacing"/>
        <w:spacing w:before="120"/>
        <w:rPr>
          <w:rFonts w:ascii="Arial" w:hAnsi="Arial" w:cs="Arial"/>
          <w:sz w:val="20"/>
          <w:szCs w:val="20"/>
        </w:rPr>
      </w:pPr>
    </w:p>
    <w:p w14:paraId="3FCA67DD" w14:textId="77777777" w:rsidR="00A373FE" w:rsidRDefault="00A373FE" w:rsidP="004B33FF">
      <w:pPr>
        <w:pStyle w:val="NoSpacing"/>
        <w:spacing w:before="120"/>
        <w:rPr>
          <w:rFonts w:ascii="Arial" w:hAnsi="Arial" w:cs="Arial"/>
          <w:sz w:val="20"/>
          <w:szCs w:val="20"/>
        </w:rPr>
      </w:pPr>
    </w:p>
    <w:p w14:paraId="52FF5ABB" w14:textId="77777777" w:rsidR="00A373FE" w:rsidRDefault="00A373FE" w:rsidP="004B33FF">
      <w:pPr>
        <w:pStyle w:val="NoSpacing"/>
        <w:spacing w:before="120"/>
        <w:rPr>
          <w:rFonts w:ascii="Arial" w:hAnsi="Arial" w:cs="Arial"/>
          <w:sz w:val="20"/>
          <w:szCs w:val="20"/>
        </w:rPr>
      </w:pPr>
    </w:p>
    <w:p w14:paraId="2948A2C8" w14:textId="77777777" w:rsidR="00A373FE" w:rsidRDefault="00A373FE" w:rsidP="004B33FF">
      <w:pPr>
        <w:pStyle w:val="NoSpacing"/>
        <w:spacing w:before="120"/>
        <w:rPr>
          <w:rFonts w:ascii="Arial" w:hAnsi="Arial" w:cs="Arial"/>
          <w:sz w:val="20"/>
          <w:szCs w:val="20"/>
        </w:rPr>
      </w:pPr>
    </w:p>
    <w:p w14:paraId="6299AD3E" w14:textId="77777777" w:rsidR="00A373FE" w:rsidRDefault="00A373FE" w:rsidP="004B33FF">
      <w:pPr>
        <w:pStyle w:val="NoSpacing"/>
        <w:spacing w:before="120"/>
        <w:rPr>
          <w:rFonts w:ascii="Arial" w:hAnsi="Arial" w:cs="Arial"/>
          <w:sz w:val="20"/>
          <w:szCs w:val="20"/>
        </w:rPr>
      </w:pPr>
    </w:p>
    <w:p w14:paraId="3C981484" w14:textId="77777777" w:rsidR="00A373FE" w:rsidRDefault="00A373FE" w:rsidP="004B33FF">
      <w:pPr>
        <w:pStyle w:val="NoSpacing"/>
        <w:spacing w:before="120"/>
        <w:rPr>
          <w:rFonts w:ascii="Arial" w:hAnsi="Arial" w:cs="Arial"/>
          <w:sz w:val="20"/>
          <w:szCs w:val="20"/>
        </w:rPr>
      </w:pPr>
    </w:p>
    <w:p w14:paraId="3157E27F" w14:textId="77777777" w:rsidR="00A373FE" w:rsidRDefault="00A373FE" w:rsidP="004B33FF">
      <w:pPr>
        <w:pStyle w:val="NoSpacing"/>
        <w:spacing w:before="120"/>
        <w:rPr>
          <w:rFonts w:ascii="Arial" w:hAnsi="Arial" w:cs="Arial"/>
          <w:sz w:val="20"/>
          <w:szCs w:val="20"/>
        </w:rPr>
      </w:pPr>
    </w:p>
    <w:p w14:paraId="39A7FB70" w14:textId="519E87A4" w:rsidR="007B0B25" w:rsidRPr="00DD00B0" w:rsidRDefault="00AB2AC5" w:rsidP="00DD00B0">
      <w:pPr>
        <w:pStyle w:val="NoSpacing"/>
        <w:spacing w:before="120"/>
        <w:jc w:val="right"/>
        <w:rPr>
          <w:rFonts w:ascii="Arial" w:hAnsi="Arial" w:cs="Arial"/>
          <w:i/>
          <w:iCs/>
          <w:color w:val="808180"/>
          <w:sz w:val="18"/>
          <w:szCs w:val="18"/>
        </w:rPr>
      </w:pPr>
      <w:r w:rsidRPr="00DD00B0">
        <w:rPr>
          <w:rFonts w:ascii="Arial" w:hAnsi="Arial" w:cs="Arial"/>
          <w:i/>
          <w:iCs/>
          <w:color w:val="808180"/>
          <w:sz w:val="18"/>
          <w:szCs w:val="18"/>
        </w:rPr>
        <w:t>October 2016</w:t>
      </w:r>
    </w:p>
    <w:sectPr w:rsidR="007B0B25" w:rsidRPr="00DD00B0" w:rsidSect="00AB2AC5">
      <w:footerReference w:type="default" r:id="rId11"/>
      <w:headerReference w:type="first" r:id="rId12"/>
      <w:footerReference w:type="first" r:id="rId13"/>
      <w:pgSz w:w="12240" w:h="15840"/>
      <w:pgMar w:top="1440" w:right="1080" w:bottom="360" w:left="108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22D98" w14:textId="77777777" w:rsidR="0006776F" w:rsidRDefault="0006776F" w:rsidP="00FC432B">
      <w:r>
        <w:separator/>
      </w:r>
    </w:p>
  </w:endnote>
  <w:endnote w:type="continuationSeparator" w:id="0">
    <w:p w14:paraId="3A7A15EE" w14:textId="77777777" w:rsidR="0006776F" w:rsidRDefault="0006776F" w:rsidP="00FC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Candara"/>
    <w:charset w:val="00"/>
    <w:family w:val="auto"/>
    <w:pitch w:val="variable"/>
    <w:sig w:usb0="00000001" w:usb1="5000E0FB" w:usb2="00000000" w:usb3="00000000" w:csb0="0000019F" w:csb1="00000000"/>
  </w:font>
  <w:font w:name="MinionPro-Regular">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626737"/>
      <w:docPartObj>
        <w:docPartGallery w:val="Page Numbers (Bottom of Page)"/>
        <w:docPartUnique/>
      </w:docPartObj>
    </w:sdtPr>
    <w:sdtEndPr>
      <w:rPr>
        <w:color w:val="7F7F7F" w:themeColor="background1" w:themeShade="7F"/>
        <w:spacing w:val="60"/>
        <w:sz w:val="18"/>
        <w:szCs w:val="18"/>
      </w:rPr>
    </w:sdtEndPr>
    <w:sdtContent>
      <w:p w14:paraId="1F1DF1E5" w14:textId="77777777" w:rsidR="00204EB3" w:rsidRPr="009F6351" w:rsidRDefault="00204EB3" w:rsidP="009D2F24">
        <w:pPr>
          <w:pStyle w:val="Footer"/>
          <w:pBdr>
            <w:top w:val="single" w:sz="4" w:space="1" w:color="D9D9D9" w:themeColor="background1" w:themeShade="D9"/>
          </w:pBdr>
          <w:ind w:left="-432" w:right="-432"/>
          <w:jc w:val="right"/>
          <w:rPr>
            <w:color w:val="7F7F7F" w:themeColor="background1" w:themeShade="7F"/>
            <w:spacing w:val="10"/>
            <w:sz w:val="16"/>
            <w:szCs w:val="16"/>
          </w:rPr>
        </w:pPr>
        <w:r w:rsidRPr="009F6351">
          <w:rPr>
            <w:noProof/>
            <w:spacing w:val="10"/>
            <w:sz w:val="16"/>
            <w:szCs w:val="16"/>
          </w:rPr>
          <mc:AlternateContent>
            <mc:Choice Requires="wps">
              <w:drawing>
                <wp:anchor distT="0" distB="0" distL="114300" distR="114300" simplePos="0" relativeHeight="251662336" behindDoc="0" locked="0" layoutInCell="1" allowOverlap="1" wp14:anchorId="52318CE4" wp14:editId="70FAEC10">
                  <wp:simplePos x="0" y="0"/>
                  <wp:positionH relativeFrom="page">
                    <wp:posOffset>312834</wp:posOffset>
                  </wp:positionH>
                  <wp:positionV relativeFrom="paragraph">
                    <wp:posOffset>-40143</wp:posOffset>
                  </wp:positionV>
                  <wp:extent cx="1389888" cy="347472"/>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1389888" cy="34747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7D43B3" w14:textId="77777777" w:rsidR="009F6351" w:rsidRPr="009F6351" w:rsidRDefault="009F6351" w:rsidP="009F6351">
                              <w:pPr>
                                <w:rPr>
                                  <w:rFonts w:cs="Arial"/>
                                  <w:b/>
                                  <w:bCs/>
                                  <w:color w:val="006B73"/>
                                  <w:spacing w:val="10"/>
                                  <w:sz w:val="20"/>
                                  <w:szCs w:val="20"/>
                                </w:rPr>
                              </w:pPr>
                              <w:r w:rsidRPr="009F6351">
                                <w:rPr>
                                  <w:rFonts w:cs="Arial"/>
                                  <w:b/>
                                  <w:bCs/>
                                  <w:color w:val="006B73"/>
                                  <w:spacing w:val="10"/>
                                  <w:sz w:val="20"/>
                                  <w:szCs w:val="20"/>
                                </w:rPr>
                                <w:t xml:space="preserve"> wcb.ny.gov</w:t>
                              </w:r>
                            </w:p>
                            <w:p w14:paraId="2BB832A6" w14:textId="5E184538" w:rsidR="00204EB3" w:rsidRPr="00204EB3" w:rsidRDefault="00204EB3" w:rsidP="00204EB3">
                              <w:pPr>
                                <w:rPr>
                                  <w:rFonts w:cs="Arial"/>
                                  <w:color w:val="006B73"/>
                                  <w:spacing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52318CE4" id="_x0000_t202" coordsize="21600,21600" o:spt="202" path="m0,0l0,21600,21600,21600,21600,0xe">
                  <v:stroke joinstyle="miter"/>
                  <v:path gradientshapeok="t" o:connecttype="rect"/>
                </v:shapetype>
                <v:shape id="Text Box 4" o:spid="_x0000_s1026" type="#_x0000_t202" style="position:absolute;left:0;text-align:left;margin-left:24.65pt;margin-top:-3.1pt;width:109.45pt;height:27.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aV4XYCAABZBQAADgAAAGRycy9lMm9Eb2MueG1srFRRTxsxDH6ftP8Q5X1cW26jVFxRB2KahAAN&#10;Jp7TXEJPS+IsSXvX/Xrs3LV0bC9Me7lz7M+O/dnO2XlnDduoEBtwFR8fjThTTkLduKeKf3+4+jDl&#10;LCbhamHAqYpvVeTn8/fvzlo/UxNYgalVYBjExVnrK75Kyc+KIsqVsiIegVcOjRqCFQmP4amog2gx&#10;ujXFZDT6VLQQah9AqhhRe9kb+TzH11rJdKt1VImZimNuKX9D/i7pW8zPxOwpCL9q5JCG+IcsrGgc&#10;XroPdSmSYOvQ/BHKNjJABJ2OJNgCtG6kyjVgNePRq2ruV8KrXAuSE/2epvj/wsqbzV1gTV3xkjMn&#10;LLboQXWJfYaOlcRO6+MMQfceYalDNXZ5p4+opKI7HSz9sRyGduR5u+eWgklyOp6eTqc4DRJtx+VJ&#10;eTKhMMWLtw8xfVFgGQkVD9i7TKnYXMfUQ3cQuszBVWNM7p9xvykwZq9ReQAGbyqkTzhLaWsUeRn3&#10;TWkkIOdNijx66sIEthE4NEJK5VIuOcdFNKE03v0WxwFPrn1Wb3Hee+SbwaW9s20chMzSq7TrH7uU&#10;dY9Hqg/qJjF1y25o8BLqLfY3QL8f0curBptwLWK6EwEXAluKS55u8aMNtBWHQeJsBeHX3/SExzlF&#10;K2ctLljF48+1CIoz89XhBJ+Oy5I2Mh/KjycTPIRDy/LQ4tb2ArAdY3xOvMwi4ZPZiTqAfcS3YEG3&#10;okk4iXdXPO3Ei9SvPb4lUi0WGYQ76EW6dvdeUmiil0bsoXsUwQ9zmHCCb2C3imL2ahx7LHk6WKwT&#10;6CbPKhHcszoQj/ubp314a+iBODxn1MuLOH8GAAD//wMAUEsDBBQABgAIAAAAIQBjPHMm3QAAAAgB&#10;AAAPAAAAZHJzL2Rvd25yZXYueG1sTI9NT8MwDIbvSPyHyEjctoSyVV1pOk1DXEGMD4lb1nhtReNU&#10;TbaWf4932m62nlevHxfryXXihENoPWl4mCsQSJW3LdUaPj9eZhmIEA1Z03lCDX8YYF3e3hQmt36k&#10;dzztYi24hEJuNDQx9rmUoWrQmTD3PRKzgx+cibwOtbSDGbncdTJRKpXOtMQXGtPjtsHqd3d0Gr5e&#10;Dz/fC/VWP7tlP/pJSXIrqfX93bR5AhFxipcwnPVZHUp22vsj2SA6DYvVIyc1zNIEBPMkzXjYM8iW&#10;IMtCXj9Q/gMAAP//AwBQSwECLQAUAAYACAAAACEA5JnDwPsAAADhAQAAEwAAAAAAAAAAAAAAAAAA&#10;AAAAW0NvbnRlbnRfVHlwZXNdLnhtbFBLAQItABQABgAIAAAAIQAjsmrh1wAAAJQBAAALAAAAAAAA&#10;AAAAAAAAACwBAABfcmVscy8ucmVsc1BLAQItABQABgAIAAAAIQDp5pXhdgIAAFkFAAAOAAAAAAAA&#10;AAAAAAAAACwCAABkcnMvZTJvRG9jLnhtbFBLAQItABQABgAIAAAAIQBjPHMm3QAAAAgBAAAPAAAA&#10;AAAAAAAAAAAAAM4EAABkcnMvZG93bnJldi54bWxQSwUGAAAAAAQABADzAAAA2AUAAAAA&#10;" filled="f" stroked="f">
                  <v:textbox>
                    <w:txbxContent>
                      <w:p w14:paraId="5D7D43B3" w14:textId="77777777" w:rsidR="009F6351" w:rsidRPr="009F6351" w:rsidRDefault="009F6351" w:rsidP="009F6351">
                        <w:pPr>
                          <w:rPr>
                            <w:rFonts w:cs="Arial"/>
                            <w:b/>
                            <w:bCs/>
                            <w:color w:val="006B73"/>
                            <w:spacing w:val="10"/>
                            <w:sz w:val="20"/>
                            <w:szCs w:val="20"/>
                          </w:rPr>
                        </w:pPr>
                        <w:r w:rsidRPr="009F6351">
                          <w:rPr>
                            <w:rFonts w:cs="Arial"/>
                            <w:b/>
                            <w:bCs/>
                            <w:color w:val="006B73"/>
                            <w:spacing w:val="10"/>
                            <w:sz w:val="20"/>
                            <w:szCs w:val="20"/>
                          </w:rPr>
                          <w:t xml:space="preserve"> wcb.ny.gov</w:t>
                        </w:r>
                      </w:p>
                      <w:p w14:paraId="2BB832A6" w14:textId="5E184538" w:rsidR="00204EB3" w:rsidRPr="00204EB3" w:rsidRDefault="00204EB3" w:rsidP="00204EB3">
                        <w:pPr>
                          <w:rPr>
                            <w:rFonts w:cs="Arial"/>
                            <w:color w:val="006B73"/>
                            <w:spacing w:val="20"/>
                          </w:rPr>
                        </w:pPr>
                      </w:p>
                    </w:txbxContent>
                  </v:textbox>
                  <w10:wrap anchorx="page"/>
                </v:shape>
              </w:pict>
            </mc:Fallback>
          </mc:AlternateContent>
        </w:r>
        <w:r w:rsidR="004B33FF" w:rsidRPr="009F6351">
          <w:rPr>
            <w:spacing w:val="10"/>
            <w:sz w:val="16"/>
            <w:szCs w:val="16"/>
          </w:rPr>
          <w:fldChar w:fldCharType="begin"/>
        </w:r>
        <w:r w:rsidR="004B33FF" w:rsidRPr="009F6351">
          <w:rPr>
            <w:spacing w:val="10"/>
            <w:sz w:val="16"/>
            <w:szCs w:val="16"/>
          </w:rPr>
          <w:instrText xml:space="preserve"> PAGE   \* MERGEFORMAT </w:instrText>
        </w:r>
        <w:r w:rsidR="004B33FF" w:rsidRPr="009F6351">
          <w:rPr>
            <w:spacing w:val="10"/>
            <w:sz w:val="16"/>
            <w:szCs w:val="16"/>
          </w:rPr>
          <w:fldChar w:fldCharType="separate"/>
        </w:r>
        <w:r w:rsidR="000B722C">
          <w:rPr>
            <w:noProof/>
            <w:spacing w:val="10"/>
            <w:sz w:val="16"/>
            <w:szCs w:val="16"/>
          </w:rPr>
          <w:t>4</w:t>
        </w:r>
        <w:r w:rsidR="004B33FF" w:rsidRPr="009F6351">
          <w:rPr>
            <w:noProof/>
            <w:spacing w:val="10"/>
            <w:sz w:val="16"/>
            <w:szCs w:val="16"/>
          </w:rPr>
          <w:fldChar w:fldCharType="end"/>
        </w:r>
        <w:r w:rsidR="004B33FF" w:rsidRPr="009F6351">
          <w:rPr>
            <w:spacing w:val="10"/>
            <w:sz w:val="16"/>
            <w:szCs w:val="16"/>
          </w:rPr>
          <w:t xml:space="preserve"> | </w:t>
        </w:r>
        <w:r w:rsidR="004B33FF" w:rsidRPr="009F6351">
          <w:rPr>
            <w:color w:val="7F7F7F" w:themeColor="background1" w:themeShade="7F"/>
            <w:spacing w:val="10"/>
            <w:sz w:val="16"/>
            <w:szCs w:val="16"/>
          </w:rPr>
          <w:t>Page</w:t>
        </w:r>
      </w:p>
      <w:p w14:paraId="03A6404D" w14:textId="6D93BC52" w:rsidR="004B33FF" w:rsidRPr="004B33FF" w:rsidRDefault="0006776F" w:rsidP="00204EB3">
        <w:pPr>
          <w:pStyle w:val="Footer"/>
          <w:pBdr>
            <w:top w:val="single" w:sz="4" w:space="1" w:color="D9D9D9" w:themeColor="background1" w:themeShade="D9"/>
          </w:pBdr>
          <w:ind w:left="-432" w:right="-432"/>
          <w:jc w:val="center"/>
          <w:rPr>
            <w:sz w:val="18"/>
            <w:szCs w:val="18"/>
          </w:rPr>
        </w:pPr>
      </w:p>
    </w:sdtContent>
  </w:sdt>
  <w:p w14:paraId="0CD0D7FE" w14:textId="1AB899AD" w:rsidR="004B33FF" w:rsidRDefault="004B33FF" w:rsidP="00A26677">
    <w:pPr>
      <w:jc w:val="center"/>
      <w:rPr>
        <w:rFonts w:ascii="Proxima Nova" w:hAnsi="Proxima Nova"/>
        <w:color w:val="646569"/>
        <w:sz w:val="16"/>
        <w:szCs w:val="16"/>
      </w:rPr>
    </w:pPr>
  </w:p>
  <w:p w14:paraId="42FAEE8F" w14:textId="77777777" w:rsidR="004B33FF" w:rsidRPr="00737646" w:rsidRDefault="004B33FF" w:rsidP="00A26677">
    <w:pPr>
      <w:jc w:val="center"/>
      <w:rPr>
        <w:rFonts w:ascii="Proxima Nova" w:hAnsi="Proxima Nova"/>
        <w:color w:val="646569"/>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124312"/>
      <w:docPartObj>
        <w:docPartGallery w:val="Page Numbers (Bottom of Page)"/>
        <w:docPartUnique/>
      </w:docPartObj>
    </w:sdtPr>
    <w:sdtEndPr>
      <w:rPr>
        <w:rFonts w:ascii="Proxima Nova" w:hAnsi="Proxima Nova"/>
        <w:color w:val="646569"/>
        <w:sz w:val="16"/>
        <w:szCs w:val="16"/>
      </w:rPr>
    </w:sdtEndPr>
    <w:sdtContent>
      <w:p w14:paraId="783FBBE4" w14:textId="78F43782" w:rsidR="00C476BA" w:rsidRPr="00C476BA" w:rsidRDefault="00204EB3" w:rsidP="009D2F24">
        <w:pPr>
          <w:pStyle w:val="Footer"/>
          <w:pBdr>
            <w:top w:val="single" w:sz="4" w:space="1" w:color="D9D9D9" w:themeColor="background1" w:themeShade="D9"/>
          </w:pBdr>
          <w:ind w:left="-432" w:right="-432"/>
          <w:jc w:val="right"/>
          <w:rPr>
            <w:rFonts w:ascii="Proxima Nova" w:hAnsi="Proxima Nova"/>
            <w:color w:val="646569"/>
            <w:sz w:val="16"/>
            <w:szCs w:val="16"/>
          </w:rPr>
        </w:pPr>
        <w:r w:rsidRPr="009F6351">
          <w:rPr>
            <w:noProof/>
            <w:sz w:val="16"/>
            <w:szCs w:val="16"/>
          </w:rPr>
          <mc:AlternateContent>
            <mc:Choice Requires="wps">
              <w:drawing>
                <wp:anchor distT="0" distB="0" distL="114300" distR="114300" simplePos="0" relativeHeight="251660288" behindDoc="0" locked="0" layoutInCell="1" allowOverlap="1" wp14:anchorId="4C025BFB" wp14:editId="52D89075">
                  <wp:simplePos x="0" y="0"/>
                  <wp:positionH relativeFrom="column">
                    <wp:posOffset>-374043</wp:posOffset>
                  </wp:positionH>
                  <wp:positionV relativeFrom="paragraph">
                    <wp:posOffset>-50165</wp:posOffset>
                  </wp:positionV>
                  <wp:extent cx="1391506" cy="346434"/>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391506" cy="3464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26EB03" w14:textId="77777777" w:rsidR="009F6351" w:rsidRPr="009F6351" w:rsidRDefault="009F6351" w:rsidP="009F6351">
                              <w:pPr>
                                <w:rPr>
                                  <w:rFonts w:cs="Arial"/>
                                  <w:b/>
                                  <w:bCs/>
                                  <w:color w:val="006B73"/>
                                  <w:spacing w:val="10"/>
                                  <w:sz w:val="20"/>
                                  <w:szCs w:val="20"/>
                                </w:rPr>
                              </w:pPr>
                              <w:r w:rsidRPr="009F6351">
                                <w:rPr>
                                  <w:rFonts w:cs="Arial"/>
                                  <w:b/>
                                  <w:bCs/>
                                  <w:color w:val="006B73"/>
                                  <w:spacing w:val="10"/>
                                  <w:sz w:val="20"/>
                                  <w:szCs w:val="20"/>
                                </w:rPr>
                                <w:t xml:space="preserve"> wcb.ny.gov</w:t>
                              </w:r>
                            </w:p>
                            <w:p w14:paraId="233BE4E3" w14:textId="74F2800A" w:rsidR="00204EB3" w:rsidRPr="009F6351" w:rsidRDefault="00204EB3">
                              <w:pPr>
                                <w:rPr>
                                  <w:rFonts w:cs="Arial"/>
                                  <w:b/>
                                  <w:bCs/>
                                  <w:color w:val="006B73"/>
                                  <w:spacing w:val="1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4C025BFB" id="_x0000_t202" coordsize="21600,21600" o:spt="202" path="m0,0l0,21600,21600,21600,21600,0xe">
                  <v:stroke joinstyle="miter"/>
                  <v:path gradientshapeok="t" o:connecttype="rect"/>
                </v:shapetype>
                <v:shape id="Text Box 3" o:spid="_x0000_s1027" type="#_x0000_t202" style="position:absolute;left:0;text-align:left;margin-left:-29.45pt;margin-top:-3.9pt;width:109.5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xjtXgCAABgBQAADgAAAGRycy9lMm9Eb2MueG1srFRNb9swDL0P2H8QdF+dr3ZrUKfIWnQYULTF&#10;0qFnRZYSY5KoSUzs7NeXkp0063bpsItNkY8U+Ujq4rK1hm1ViDW4kg9PBpwpJ6Gq3ark3x9vPnzi&#10;LKJwlTDgVMl3KvLL2ft3F42fqhGswVQqMAri4rTxJV8j+mlRRLlWVsQT8MqRUUOwAukYVkUVREPR&#10;rSlGg8FZ0UCofACpYiTtdWfksxxfayXxXuuokJmSU26YvyF/l+lbzC7EdBWEX9eyT0P8QxZW1I4u&#10;PYS6FijYJtR/hLK1DBBB44kEW4DWtVS5BqpmOHhVzWItvMq1EDnRH2iK/y+svNs+BFZXJR9z5oSl&#10;Fj2qFtlnaNk4sdP4OCXQwhMMW1JTl/f6SMpUdKuDTX8qh5GdeN4duE3BZHIanw9PB2ecSbKNJ2eT&#10;8SSFKV68fYj4RYFlSSh5oN5lSsX2NmIH3UPSZQ5uamNy/4z7TUExO43KA9B7p0K6hLOEO6OSl3Hf&#10;lCYCct5JkUdPXZnAtoKGRkipHOaSc1xCJ5Smu9/i2OOTa5fVW5wPHvlmcHhwtrWDkFl6lXb1Y5+y&#10;7vBE9VHdScR22ebOH/q5hGpHbQ7QrUn08qamXtyKiA8i0F5QZ2nX8Z4+2kBTcuglztYQfv1Nn/A0&#10;rmTlrKE9K3n8uRFBcWa+Ohrk8+FkkhYzHyanH0d0CMeW5bHFbewVUFeG9Kp4mcWER7MXdQD7RE/C&#10;PN1KJuEk3V1y3ItX2G0/PSlSzecZRKvoBd66hZcpdGI5Tdpj+ySC78cRaZDvYL+RYvpqKjts8nQw&#10;3yDoOo9s4rljteef1jgPff/kpHfi+JxRLw/j7BkAAP//AwBQSwMEFAAGAAgAAAAhAAfjKZvdAAAA&#10;CQEAAA8AAABkcnMvZG93bnJldi54bWxMj8FuwjAMhu+TeIfISLtBMgRd6ZoixLTrprGBtFtoTFut&#10;caom0O7tZ07bzZY//f7+fDO6VlyxD40nDQ9zBQKp9LahSsPnx8ssBRGiIWtaT6jhBwNsisldbjLr&#10;B3rH6z5WgkMoZEZDHWOXSRnKGp0Jc98h8e3se2cir30lbW8GDnetXCiVSGca4g+16XBXY/m9vzgN&#10;h9fz13Gp3qpnt+oGPypJbi21vp+O2ycQEcf4B8NNn9WhYKeTv5ANotUwW6VrRnl45Ao3IFELECcN&#10;yyQFWeTyf4PiFwAA//8DAFBLAQItABQABgAIAAAAIQDkmcPA+wAAAOEBAAATAAAAAAAAAAAAAAAA&#10;AAAAAABbQ29udGVudF9UeXBlc10ueG1sUEsBAi0AFAAGAAgAAAAhACOyauHXAAAAlAEAAAsAAAAA&#10;AAAAAAAAAAAALAEAAF9yZWxzLy5yZWxzUEsBAi0AFAAGAAgAAAAhAI7cY7V4AgAAYAUAAA4AAAAA&#10;AAAAAAAAAAAALAIAAGRycy9lMm9Eb2MueG1sUEsBAi0AFAAGAAgAAAAhAAfjKZvdAAAACQEAAA8A&#10;AAAAAAAAAAAAAAAA0AQAAGRycy9kb3ducmV2LnhtbFBLBQYAAAAABAAEAPMAAADaBQAAAAA=&#10;" filled="f" stroked="f">
                  <v:textbox>
                    <w:txbxContent>
                      <w:p w14:paraId="1626EB03" w14:textId="77777777" w:rsidR="009F6351" w:rsidRPr="009F6351" w:rsidRDefault="009F6351" w:rsidP="009F6351">
                        <w:pPr>
                          <w:rPr>
                            <w:rFonts w:cs="Arial"/>
                            <w:b/>
                            <w:bCs/>
                            <w:color w:val="006B73"/>
                            <w:spacing w:val="10"/>
                            <w:sz w:val="20"/>
                            <w:szCs w:val="20"/>
                          </w:rPr>
                        </w:pPr>
                        <w:r w:rsidRPr="009F6351">
                          <w:rPr>
                            <w:rFonts w:cs="Arial"/>
                            <w:b/>
                            <w:bCs/>
                            <w:color w:val="006B73"/>
                            <w:spacing w:val="10"/>
                            <w:sz w:val="20"/>
                            <w:szCs w:val="20"/>
                          </w:rPr>
                          <w:t xml:space="preserve"> wcb.ny.gov</w:t>
                        </w:r>
                      </w:p>
                      <w:p w14:paraId="233BE4E3" w14:textId="74F2800A" w:rsidR="00204EB3" w:rsidRPr="009F6351" w:rsidRDefault="00204EB3">
                        <w:pPr>
                          <w:rPr>
                            <w:rFonts w:cs="Arial"/>
                            <w:b/>
                            <w:bCs/>
                            <w:color w:val="006B73"/>
                            <w:spacing w:val="10"/>
                            <w:sz w:val="20"/>
                            <w:szCs w:val="20"/>
                          </w:rPr>
                        </w:pPr>
                      </w:p>
                    </w:txbxContent>
                  </v:textbox>
                </v:shape>
              </w:pict>
            </mc:Fallback>
          </mc:AlternateContent>
        </w:r>
        <w:r w:rsidR="00C476BA" w:rsidRPr="009F6351">
          <w:rPr>
            <w:sz w:val="16"/>
            <w:szCs w:val="16"/>
          </w:rPr>
          <w:fldChar w:fldCharType="begin"/>
        </w:r>
        <w:r w:rsidR="00C476BA" w:rsidRPr="009F6351">
          <w:rPr>
            <w:sz w:val="16"/>
            <w:szCs w:val="16"/>
          </w:rPr>
          <w:instrText xml:space="preserve"> PAGE   \* MERGEFORMAT </w:instrText>
        </w:r>
        <w:r w:rsidR="00C476BA" w:rsidRPr="009F6351">
          <w:rPr>
            <w:sz w:val="16"/>
            <w:szCs w:val="16"/>
          </w:rPr>
          <w:fldChar w:fldCharType="separate"/>
        </w:r>
        <w:r w:rsidR="000B722C">
          <w:rPr>
            <w:noProof/>
            <w:sz w:val="16"/>
            <w:szCs w:val="16"/>
          </w:rPr>
          <w:t>1</w:t>
        </w:r>
        <w:r w:rsidR="00C476BA" w:rsidRPr="009F6351">
          <w:rPr>
            <w:noProof/>
            <w:sz w:val="16"/>
            <w:szCs w:val="16"/>
          </w:rPr>
          <w:fldChar w:fldCharType="end"/>
        </w:r>
        <w:r w:rsidR="00C476BA" w:rsidRPr="009F6351">
          <w:rPr>
            <w:sz w:val="16"/>
            <w:szCs w:val="16"/>
          </w:rPr>
          <w:t xml:space="preserve"> | </w:t>
        </w:r>
        <w:r w:rsidR="00C476BA" w:rsidRPr="009F6351">
          <w:rPr>
            <w:color w:val="7F7F7F" w:themeColor="background1" w:themeShade="7F"/>
            <w:sz w:val="16"/>
            <w:szCs w:val="16"/>
          </w:rPr>
          <w:t>Page</w:t>
        </w:r>
        <w:r w:rsidR="009D2F24">
          <w:rPr>
            <w:rFonts w:ascii="Proxima Nova" w:hAnsi="Proxima Nova"/>
            <w:color w:val="646569"/>
            <w:sz w:val="16"/>
            <w:szCs w:val="16"/>
          </w:rPr>
          <w:br/>
        </w:r>
      </w:p>
    </w:sdtContent>
  </w:sdt>
  <w:p w14:paraId="1A7900D9" w14:textId="3DEE40FB" w:rsidR="00866D86" w:rsidRDefault="00866D86" w:rsidP="00866D86">
    <w:pPr>
      <w:jc w:val="center"/>
      <w:rPr>
        <w:rFonts w:ascii="Proxima Nova" w:hAnsi="Proxima Nova"/>
        <w:color w:val="646569"/>
        <w:sz w:val="16"/>
        <w:szCs w:val="16"/>
      </w:rPr>
    </w:pPr>
  </w:p>
  <w:p w14:paraId="0B0A0263" w14:textId="77777777" w:rsidR="00C476BA" w:rsidRPr="00866D86" w:rsidRDefault="00C476BA" w:rsidP="00866D86">
    <w:pPr>
      <w:jc w:val="center"/>
      <w:rPr>
        <w:rFonts w:ascii="Proxima Nova" w:hAnsi="Proxima Nova"/>
        <w:color w:val="646569"/>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FD84D" w14:textId="77777777" w:rsidR="0006776F" w:rsidRDefault="0006776F" w:rsidP="00FC432B">
      <w:r>
        <w:separator/>
      </w:r>
    </w:p>
  </w:footnote>
  <w:footnote w:type="continuationSeparator" w:id="0">
    <w:p w14:paraId="7B4E1C44" w14:textId="77777777" w:rsidR="0006776F" w:rsidRDefault="0006776F" w:rsidP="00FC432B">
      <w:r>
        <w:continuationSeparator/>
      </w:r>
    </w:p>
  </w:footnote>
  <w:footnote w:id="1">
    <w:p w14:paraId="36DB1591" w14:textId="77777777" w:rsidR="00AB2AC5" w:rsidRPr="008B2F2A" w:rsidRDefault="00AB2AC5" w:rsidP="00AB2AC5">
      <w:pPr>
        <w:pStyle w:val="FootnoteText"/>
        <w:rPr>
          <w:rFonts w:ascii="Arial" w:hAnsi="Arial" w:cs="Arial"/>
          <w:sz w:val="17"/>
          <w:szCs w:val="17"/>
        </w:rPr>
      </w:pPr>
      <w:r w:rsidRPr="008B2F2A">
        <w:rPr>
          <w:rStyle w:val="FootnoteReference"/>
          <w:rFonts w:ascii="Arial" w:hAnsi="Arial" w:cs="Arial"/>
          <w:sz w:val="17"/>
          <w:szCs w:val="17"/>
        </w:rPr>
        <w:footnoteRef/>
      </w:r>
      <w:r w:rsidRPr="008B2F2A">
        <w:rPr>
          <w:rFonts w:ascii="Arial" w:hAnsi="Arial" w:cs="Arial"/>
          <w:sz w:val="17"/>
          <w:szCs w:val="17"/>
        </w:rPr>
        <w:t xml:space="preserve"> This pricing structure shall not apply to prescription drugs or medicines provided as part of treatment governed by the medical and hospital fee schedule (§440.5(e)).</w:t>
      </w:r>
    </w:p>
  </w:footnote>
  <w:footnote w:id="2">
    <w:p w14:paraId="0DD72316" w14:textId="77777777" w:rsidR="00AB2AC5" w:rsidRDefault="00AB2AC5" w:rsidP="00AB2AC5">
      <w:pPr>
        <w:pStyle w:val="FootnoteText"/>
        <w:rPr>
          <w:rFonts w:ascii="Arial" w:hAnsi="Arial" w:cs="Arial"/>
          <w:sz w:val="17"/>
          <w:szCs w:val="17"/>
        </w:rPr>
      </w:pPr>
      <w:r w:rsidRPr="008B2F2A">
        <w:rPr>
          <w:rStyle w:val="FootnoteReference"/>
          <w:rFonts w:ascii="Arial" w:hAnsi="Arial" w:cs="Arial"/>
          <w:sz w:val="17"/>
          <w:szCs w:val="17"/>
        </w:rPr>
        <w:footnoteRef/>
      </w:r>
      <w:r w:rsidRPr="008B2F2A">
        <w:rPr>
          <w:rFonts w:ascii="Arial" w:hAnsi="Arial" w:cs="Arial"/>
          <w:sz w:val="17"/>
          <w:szCs w:val="17"/>
        </w:rPr>
        <w:t xml:space="preserve"> “Average Wholesale Price” or “AWP” means the average wholesale price of a prescription drug as provided in the most current release of the Red Book published by Thomson Reuters or Medi-Span Master Drug Database by Wolters Kluwer Health or any successor publisher, on the day a prescription drug is dispensed or other nationally recognized drug pricing index adopted by the Chair or Chair’s designee.</w:t>
      </w:r>
    </w:p>
    <w:p w14:paraId="14CCFDB8" w14:textId="77777777" w:rsidR="00C476BA" w:rsidRDefault="00C476BA" w:rsidP="00AB2AC5">
      <w:pPr>
        <w:pStyle w:val="FootnoteText"/>
        <w:rPr>
          <w:rFonts w:ascii="Arial" w:hAnsi="Arial" w:cs="Arial"/>
          <w:sz w:val="17"/>
          <w:szCs w:val="17"/>
        </w:rPr>
      </w:pPr>
    </w:p>
    <w:p w14:paraId="62EB422C" w14:textId="77777777" w:rsidR="00C476BA" w:rsidRPr="008B2F2A" w:rsidRDefault="00C476BA" w:rsidP="00AB2AC5">
      <w:pPr>
        <w:pStyle w:val="FootnoteText"/>
        <w:rPr>
          <w:sz w:val="17"/>
          <w:szCs w:val="17"/>
        </w:rPr>
      </w:pPr>
    </w:p>
  </w:footnote>
  <w:footnote w:id="3">
    <w:p w14:paraId="1169BA71" w14:textId="77777777" w:rsidR="00AB2AC5" w:rsidRPr="00C476BA" w:rsidRDefault="00AB2AC5" w:rsidP="00AB2AC5">
      <w:pPr>
        <w:pStyle w:val="FootnoteText"/>
        <w:rPr>
          <w:rFonts w:ascii="Arial" w:hAnsi="Arial" w:cs="Arial"/>
          <w:i/>
          <w:sz w:val="17"/>
          <w:szCs w:val="17"/>
        </w:rPr>
      </w:pPr>
      <w:r w:rsidRPr="00C476BA">
        <w:rPr>
          <w:rStyle w:val="FootnoteReference"/>
          <w:rFonts w:ascii="Arial" w:hAnsi="Arial" w:cs="Arial"/>
          <w:sz w:val="17"/>
          <w:szCs w:val="17"/>
        </w:rPr>
        <w:footnoteRef/>
      </w:r>
      <w:r w:rsidRPr="00C476BA">
        <w:rPr>
          <w:rFonts w:ascii="Arial" w:hAnsi="Arial" w:cs="Arial"/>
          <w:sz w:val="17"/>
          <w:szCs w:val="17"/>
        </w:rPr>
        <w:t xml:space="preserve"> Pomerleau A, Gooden C, Fantz C, Morgan B, Dermal Exposure to a Compounded Pain Cream Resulting in Severely Elevated Clonidine Concentration, </w:t>
      </w:r>
      <w:r w:rsidRPr="00C476BA">
        <w:rPr>
          <w:rFonts w:ascii="Arial" w:hAnsi="Arial" w:cs="Arial"/>
          <w:i/>
          <w:sz w:val="17"/>
          <w:szCs w:val="17"/>
        </w:rPr>
        <w:t>J. Med. Toxicology (2014) 10:61064</w:t>
      </w:r>
    </w:p>
    <w:p w14:paraId="2022446A" w14:textId="77777777" w:rsidR="00AB2AC5" w:rsidRPr="00C476BA" w:rsidRDefault="00AB2AC5" w:rsidP="00AB2AC5">
      <w:pPr>
        <w:pStyle w:val="FootnoteText"/>
        <w:rPr>
          <w:rFonts w:ascii="Arial" w:hAnsi="Arial" w:cs="Arial"/>
          <w:i/>
          <w:sz w:val="17"/>
          <w:szCs w:val="17"/>
        </w:rPr>
      </w:pPr>
    </w:p>
    <w:p w14:paraId="765689DE" w14:textId="0C9C4D4C" w:rsidR="00C476BA" w:rsidRPr="00A373FE" w:rsidRDefault="00AB2AC5" w:rsidP="00AB2AC5">
      <w:pPr>
        <w:pStyle w:val="FootnoteText"/>
        <w:rPr>
          <w:rFonts w:ascii="Arial" w:hAnsi="Arial" w:cs="Arial"/>
          <w:sz w:val="17"/>
          <w:szCs w:val="17"/>
        </w:rPr>
      </w:pPr>
      <w:r w:rsidRPr="00C476BA">
        <w:rPr>
          <w:rFonts w:ascii="Arial" w:hAnsi="Arial" w:cs="Arial"/>
          <w:sz w:val="17"/>
          <w:szCs w:val="17"/>
        </w:rPr>
        <w:t xml:space="preserve">Pollack A, Pharmacies Turn Drugs into Profits, Pitting Insurers vs. Compounders, </w:t>
      </w:r>
      <w:r w:rsidRPr="00C476BA">
        <w:rPr>
          <w:rFonts w:ascii="Arial" w:hAnsi="Arial" w:cs="Arial"/>
          <w:i/>
          <w:sz w:val="17"/>
          <w:szCs w:val="17"/>
        </w:rPr>
        <w:t>The New York Times</w:t>
      </w:r>
      <w:r w:rsidRPr="00C476BA">
        <w:rPr>
          <w:rFonts w:ascii="Arial" w:hAnsi="Arial" w:cs="Arial"/>
          <w:sz w:val="17"/>
          <w:szCs w:val="17"/>
        </w:rPr>
        <w:t>, August 13, 2014.</w:t>
      </w:r>
    </w:p>
    <w:p w14:paraId="778026B0" w14:textId="77777777" w:rsidR="00AB2AC5" w:rsidRPr="003D2B94" w:rsidRDefault="00AB2AC5" w:rsidP="00AB2AC5">
      <w:pPr>
        <w:pStyle w:val="FootnoteText"/>
        <w:rPr>
          <w: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30C75" w14:textId="2B398DFB" w:rsidR="00E2374D" w:rsidRDefault="00C36AB9" w:rsidP="009D2F24">
    <w:pPr>
      <w:pStyle w:val="Header"/>
      <w:ind w:left="-432" w:right="-432"/>
    </w:pPr>
    <w:r w:rsidRPr="00C36AB9">
      <w:rPr>
        <w:noProof/>
      </w:rPr>
      <w:drawing>
        <wp:anchor distT="0" distB="182880" distL="114300" distR="114300" simplePos="0" relativeHeight="251659264" behindDoc="0" locked="0" layoutInCell="1" allowOverlap="1" wp14:anchorId="5A08A861" wp14:editId="7EBF5AFF">
          <wp:simplePos x="0" y="0"/>
          <wp:positionH relativeFrom="column">
            <wp:posOffset>-291465</wp:posOffset>
          </wp:positionH>
          <wp:positionV relativeFrom="paragraph">
            <wp:posOffset>551815</wp:posOffset>
          </wp:positionV>
          <wp:extent cx="6969760" cy="1167765"/>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637" t="6826" r="1563"/>
                  <a:stretch/>
                </pic:blipFill>
                <pic:spPr bwMode="auto">
                  <a:xfrm>
                    <a:off x="0" y="0"/>
                    <a:ext cx="6969760" cy="1167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0C839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F31AC6"/>
    <w:multiLevelType w:val="hybridMultilevel"/>
    <w:tmpl w:val="B450F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C040F"/>
    <w:multiLevelType w:val="hybridMultilevel"/>
    <w:tmpl w:val="A8E2570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76B6D"/>
    <w:multiLevelType w:val="hybridMultilevel"/>
    <w:tmpl w:val="902A06E0"/>
    <w:lvl w:ilvl="0" w:tplc="2B94259C">
      <w:start w:val="1"/>
      <w:numFmt w:val="decimal"/>
      <w:pStyle w:val="test"/>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C55DB3"/>
    <w:multiLevelType w:val="hybridMultilevel"/>
    <w:tmpl w:val="D1A8C3D4"/>
    <w:lvl w:ilvl="0" w:tplc="77A0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F25B95"/>
    <w:multiLevelType w:val="multilevel"/>
    <w:tmpl w:val="2D0C7E68"/>
    <w:lvl w:ilvl="0">
      <w:start w:val="3"/>
      <w:numFmt w:val="decimal"/>
      <w:lvlText w:val="%1"/>
      <w:lvlJc w:val="left"/>
      <w:pPr>
        <w:ind w:left="360" w:hanging="360"/>
      </w:pPr>
      <w:rPr>
        <w:rFonts w:hint="default"/>
      </w:rPr>
    </w:lvl>
    <w:lvl w:ilvl="1">
      <w:start w:val="1"/>
      <w:numFmt w:val="decimal"/>
      <w:pStyle w:val="header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D0B3EF1"/>
    <w:multiLevelType w:val="hybridMultilevel"/>
    <w:tmpl w:val="CF208568"/>
    <w:lvl w:ilvl="0" w:tplc="EDC8A0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1A3601"/>
    <w:multiLevelType w:val="hybridMultilevel"/>
    <w:tmpl w:val="8ACC151C"/>
    <w:lvl w:ilvl="0" w:tplc="F21C9F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413DB9"/>
    <w:multiLevelType w:val="hybridMultilevel"/>
    <w:tmpl w:val="C980EB34"/>
    <w:lvl w:ilvl="0" w:tplc="C0B2F17A">
      <w:start w:val="1"/>
      <w:numFmt w:val="upperLetter"/>
      <w:lvlText w:val="%1."/>
      <w:lvlJc w:val="left"/>
      <w:pPr>
        <w:ind w:left="720" w:hanging="360"/>
      </w:pPr>
      <w:rPr>
        <w:rFonts w:ascii="Arial" w:eastAsiaTheme="minorHAnsi" w:hAnsi="Arial" w:cs="Arial" w:hint="default"/>
      </w:rPr>
    </w:lvl>
    <w:lvl w:ilvl="1" w:tplc="35AC4E02">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573E29"/>
    <w:multiLevelType w:val="hybridMultilevel"/>
    <w:tmpl w:val="8F8EBC72"/>
    <w:lvl w:ilvl="0" w:tplc="0C7E9A98">
      <w:start w:val="1"/>
      <w:numFmt w:val="upperLetter"/>
      <w:lvlText w:val="%1."/>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2A23B0"/>
    <w:multiLevelType w:val="hybridMultilevel"/>
    <w:tmpl w:val="B6BA9848"/>
    <w:lvl w:ilvl="0" w:tplc="097071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B21F70"/>
    <w:multiLevelType w:val="hybridMultilevel"/>
    <w:tmpl w:val="4702AB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F255F5"/>
    <w:multiLevelType w:val="hybridMultilevel"/>
    <w:tmpl w:val="5E4A93B6"/>
    <w:lvl w:ilvl="0" w:tplc="0F94E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742805"/>
    <w:multiLevelType w:val="multilevel"/>
    <w:tmpl w:val="B0041FC8"/>
    <w:lvl w:ilvl="0">
      <w:start w:val="1"/>
      <w:numFmt w:val="decimal"/>
      <w:lvlText w:val="%1."/>
      <w:lvlJc w:val="left"/>
      <w:pPr>
        <w:ind w:left="1080" w:hanging="360"/>
      </w:pPr>
      <w:rPr>
        <w:rFonts w:hint="default"/>
      </w:rPr>
    </w:lvl>
    <w:lvl w:ilv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5B23087D"/>
    <w:multiLevelType w:val="hybridMultilevel"/>
    <w:tmpl w:val="0EE6E26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646541"/>
    <w:multiLevelType w:val="hybridMultilevel"/>
    <w:tmpl w:val="3F365C00"/>
    <w:lvl w:ilvl="0" w:tplc="D56883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5146F4"/>
    <w:multiLevelType w:val="multilevel"/>
    <w:tmpl w:val="F02C7CC8"/>
    <w:lvl w:ilvl="0">
      <w:start w:val="2"/>
      <w:numFmt w:val="decimal"/>
      <w:pStyle w:val="greyheader2"/>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6E5F7147"/>
    <w:multiLevelType w:val="hybridMultilevel"/>
    <w:tmpl w:val="9E2EC404"/>
    <w:lvl w:ilvl="0" w:tplc="E806C360">
      <w:start w:val="1"/>
      <w:numFmt w:val="upperLetter"/>
      <w:pStyle w:val="JPtext2"/>
      <w:lvlText w:val="%1."/>
      <w:lvlJc w:val="left"/>
      <w:pPr>
        <w:ind w:left="720" w:hanging="360"/>
      </w:pPr>
      <w:rPr>
        <w:rFonts w:hint="default"/>
      </w:rPr>
    </w:lvl>
    <w:lvl w:ilvl="1" w:tplc="698E06EC">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B158AE"/>
    <w:multiLevelType w:val="hybridMultilevel"/>
    <w:tmpl w:val="C3448B04"/>
    <w:lvl w:ilvl="0" w:tplc="280A5C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996835"/>
    <w:multiLevelType w:val="hybridMultilevel"/>
    <w:tmpl w:val="6560A410"/>
    <w:lvl w:ilvl="0" w:tplc="787ED862">
      <w:start w:val="1"/>
      <w:numFmt w:val="decimal"/>
      <w:lvlText w:val="%1."/>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9C000FB"/>
    <w:multiLevelType w:val="hybridMultilevel"/>
    <w:tmpl w:val="612AF77E"/>
    <w:lvl w:ilvl="0" w:tplc="8006C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9"/>
  </w:num>
  <w:num w:numId="4">
    <w:abstractNumId w:val="19"/>
  </w:num>
  <w:num w:numId="5">
    <w:abstractNumId w:val="16"/>
  </w:num>
  <w:num w:numId="6">
    <w:abstractNumId w:val="17"/>
  </w:num>
  <w:num w:numId="7">
    <w:abstractNumId w:val="3"/>
  </w:num>
  <w:num w:numId="8">
    <w:abstractNumId w:val="18"/>
  </w:num>
  <w:num w:numId="9">
    <w:abstractNumId w:val="7"/>
  </w:num>
  <w:num w:numId="10">
    <w:abstractNumId w:val="5"/>
  </w:num>
  <w:num w:numId="11">
    <w:abstractNumId w:val="11"/>
  </w:num>
  <w:num w:numId="12">
    <w:abstractNumId w:val="14"/>
  </w:num>
  <w:num w:numId="13">
    <w:abstractNumId w:val="2"/>
  </w:num>
  <w:num w:numId="14">
    <w:abstractNumId w:val="20"/>
  </w:num>
  <w:num w:numId="15">
    <w:abstractNumId w:val="4"/>
  </w:num>
  <w:num w:numId="16">
    <w:abstractNumId w:val="6"/>
  </w:num>
  <w:num w:numId="17">
    <w:abstractNumId w:val="12"/>
  </w:num>
  <w:num w:numId="18">
    <w:abstractNumId w:val="15"/>
  </w:num>
  <w:num w:numId="19">
    <w:abstractNumId w:val="10"/>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7D"/>
    <w:rsid w:val="000022E6"/>
    <w:rsid w:val="000524F0"/>
    <w:rsid w:val="0006776F"/>
    <w:rsid w:val="000B722C"/>
    <w:rsid w:val="00136E0E"/>
    <w:rsid w:val="00153CA8"/>
    <w:rsid w:val="001B68AB"/>
    <w:rsid w:val="001E7554"/>
    <w:rsid w:val="001F5090"/>
    <w:rsid w:val="00204EB3"/>
    <w:rsid w:val="002A4F3C"/>
    <w:rsid w:val="002D5660"/>
    <w:rsid w:val="00316C58"/>
    <w:rsid w:val="00325704"/>
    <w:rsid w:val="003505E0"/>
    <w:rsid w:val="00362761"/>
    <w:rsid w:val="0036390D"/>
    <w:rsid w:val="003863C4"/>
    <w:rsid w:val="003D4210"/>
    <w:rsid w:val="00404FD5"/>
    <w:rsid w:val="00411242"/>
    <w:rsid w:val="00473481"/>
    <w:rsid w:val="004B33FF"/>
    <w:rsid w:val="004C14B4"/>
    <w:rsid w:val="00507181"/>
    <w:rsid w:val="0053158E"/>
    <w:rsid w:val="00596A1C"/>
    <w:rsid w:val="005D4ED4"/>
    <w:rsid w:val="005D72D1"/>
    <w:rsid w:val="006231BE"/>
    <w:rsid w:val="00642002"/>
    <w:rsid w:val="00662E6F"/>
    <w:rsid w:val="006B18D9"/>
    <w:rsid w:val="006E2414"/>
    <w:rsid w:val="007254BE"/>
    <w:rsid w:val="00737646"/>
    <w:rsid w:val="00761100"/>
    <w:rsid w:val="0076308A"/>
    <w:rsid w:val="007926B7"/>
    <w:rsid w:val="007A0593"/>
    <w:rsid w:val="007B0B25"/>
    <w:rsid w:val="00866D86"/>
    <w:rsid w:val="008B2F2A"/>
    <w:rsid w:val="00902C84"/>
    <w:rsid w:val="009140A0"/>
    <w:rsid w:val="009640E9"/>
    <w:rsid w:val="00970F24"/>
    <w:rsid w:val="009B0928"/>
    <w:rsid w:val="009D2F24"/>
    <w:rsid w:val="009F6351"/>
    <w:rsid w:val="00A26677"/>
    <w:rsid w:val="00A330EB"/>
    <w:rsid w:val="00A373FE"/>
    <w:rsid w:val="00A5497D"/>
    <w:rsid w:val="00AB2AC5"/>
    <w:rsid w:val="00B16723"/>
    <w:rsid w:val="00B33586"/>
    <w:rsid w:val="00B64249"/>
    <w:rsid w:val="00B6634E"/>
    <w:rsid w:val="00B73A22"/>
    <w:rsid w:val="00BD1103"/>
    <w:rsid w:val="00C05C48"/>
    <w:rsid w:val="00C36AB9"/>
    <w:rsid w:val="00C476BA"/>
    <w:rsid w:val="00CF1FEB"/>
    <w:rsid w:val="00D775EF"/>
    <w:rsid w:val="00D86410"/>
    <w:rsid w:val="00DD00B0"/>
    <w:rsid w:val="00DE194C"/>
    <w:rsid w:val="00DE2D1E"/>
    <w:rsid w:val="00E2374D"/>
    <w:rsid w:val="00E23962"/>
    <w:rsid w:val="00E3559F"/>
    <w:rsid w:val="00E5714E"/>
    <w:rsid w:val="00E958B7"/>
    <w:rsid w:val="00F12212"/>
    <w:rsid w:val="00F64A48"/>
    <w:rsid w:val="00F70645"/>
    <w:rsid w:val="00F842A6"/>
    <w:rsid w:val="00FC0E2C"/>
    <w:rsid w:val="00FC4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856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59F"/>
    <w:pPr>
      <w:spacing w:after="0" w:line="240" w:lineRule="auto"/>
    </w:pPr>
    <w:rPr>
      <w:rFonts w:ascii="Arial" w:hAnsi="Arial"/>
      <w:color w:val="000000" w:themeColor="text1"/>
    </w:rPr>
  </w:style>
  <w:style w:type="paragraph" w:styleId="Heading1">
    <w:name w:val="heading 1"/>
    <w:basedOn w:val="Normal"/>
    <w:next w:val="Normal"/>
    <w:link w:val="Heading1Char"/>
    <w:uiPriority w:val="9"/>
    <w:qFormat/>
    <w:rsid w:val="00AB2AC5"/>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B2AC5"/>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81"/>
    <w:rPr>
      <w:rFonts w:ascii="Tahoma" w:hAnsi="Tahoma" w:cs="Tahoma"/>
      <w:sz w:val="16"/>
      <w:szCs w:val="16"/>
    </w:rPr>
  </w:style>
  <w:style w:type="character" w:customStyle="1" w:styleId="BalloonTextChar">
    <w:name w:val="Balloon Text Char"/>
    <w:basedOn w:val="DefaultParagraphFont"/>
    <w:link w:val="BalloonText"/>
    <w:uiPriority w:val="99"/>
    <w:semiHidden/>
    <w:rsid w:val="00507181"/>
    <w:rPr>
      <w:rFonts w:ascii="Tahoma" w:hAnsi="Tahoma" w:cs="Tahoma"/>
      <w:sz w:val="16"/>
      <w:szCs w:val="16"/>
    </w:rPr>
  </w:style>
  <w:style w:type="paragraph" w:styleId="Header">
    <w:name w:val="header"/>
    <w:basedOn w:val="Normal"/>
    <w:link w:val="HeaderChar"/>
    <w:uiPriority w:val="99"/>
    <w:unhideWhenUsed/>
    <w:rsid w:val="00FC432B"/>
    <w:pPr>
      <w:tabs>
        <w:tab w:val="center" w:pos="4680"/>
        <w:tab w:val="right" w:pos="9360"/>
      </w:tabs>
    </w:pPr>
  </w:style>
  <w:style w:type="character" w:customStyle="1" w:styleId="HeaderChar">
    <w:name w:val="Header Char"/>
    <w:basedOn w:val="DefaultParagraphFont"/>
    <w:link w:val="Header"/>
    <w:uiPriority w:val="99"/>
    <w:rsid w:val="00FC432B"/>
  </w:style>
  <w:style w:type="paragraph" w:styleId="Footer">
    <w:name w:val="footer"/>
    <w:basedOn w:val="Normal"/>
    <w:link w:val="FooterChar"/>
    <w:uiPriority w:val="99"/>
    <w:unhideWhenUsed/>
    <w:rsid w:val="00FC432B"/>
    <w:pPr>
      <w:tabs>
        <w:tab w:val="center" w:pos="4680"/>
        <w:tab w:val="right" w:pos="9360"/>
      </w:tabs>
    </w:pPr>
  </w:style>
  <w:style w:type="character" w:customStyle="1" w:styleId="FooterChar">
    <w:name w:val="Footer Char"/>
    <w:basedOn w:val="DefaultParagraphFont"/>
    <w:link w:val="Footer"/>
    <w:uiPriority w:val="99"/>
    <w:rsid w:val="00FC432B"/>
  </w:style>
  <w:style w:type="paragraph" w:customStyle="1" w:styleId="honors">
    <w:name w:val="honors"/>
    <w:basedOn w:val="Normal"/>
    <w:qFormat/>
    <w:rsid w:val="00E23962"/>
    <w:pPr>
      <w:spacing w:line="200" w:lineRule="exact"/>
    </w:pPr>
    <w:rPr>
      <w:rFonts w:ascii="Proxima Nova" w:hAnsi="Proxima Nova" w:cs="Arial"/>
      <w:b/>
      <w:bCs/>
      <w:caps/>
      <w:noProof/>
      <w:color w:val="646569"/>
      <w:sz w:val="20"/>
    </w:rPr>
  </w:style>
  <w:style w:type="paragraph" w:customStyle="1" w:styleId="BasicParagraph">
    <w:name w:val="[Basic Paragraph]"/>
    <w:basedOn w:val="Normal"/>
    <w:uiPriority w:val="99"/>
    <w:rsid w:val="00737646"/>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FOOTERTEXT">
    <w:name w:val="FOOTER TEXT"/>
    <w:basedOn w:val="Normal"/>
    <w:qFormat/>
    <w:rsid w:val="0053158E"/>
    <w:pPr>
      <w:jc w:val="center"/>
    </w:pPr>
    <w:rPr>
      <w:rFonts w:ascii="Proxima Nova" w:hAnsi="Proxima Nova"/>
      <w:color w:val="646569"/>
      <w:sz w:val="16"/>
      <w:szCs w:val="16"/>
    </w:rPr>
  </w:style>
  <w:style w:type="character" w:customStyle="1" w:styleId="Heading1Char">
    <w:name w:val="Heading 1 Char"/>
    <w:basedOn w:val="DefaultParagraphFont"/>
    <w:link w:val="Heading1"/>
    <w:uiPriority w:val="9"/>
    <w:rsid w:val="00AB2AC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B2AC5"/>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AB2AC5"/>
    <w:pPr>
      <w:spacing w:after="0" w:line="240" w:lineRule="auto"/>
    </w:pPr>
  </w:style>
  <w:style w:type="paragraph" w:styleId="FootnoteText">
    <w:name w:val="footnote text"/>
    <w:basedOn w:val="Normal"/>
    <w:link w:val="FootnoteTextChar"/>
    <w:uiPriority w:val="99"/>
    <w:semiHidden/>
    <w:unhideWhenUsed/>
    <w:rsid w:val="00AB2AC5"/>
    <w:rPr>
      <w:rFonts w:asciiTheme="minorHAnsi" w:hAnsiTheme="minorHAnsi"/>
      <w:color w:val="auto"/>
      <w:sz w:val="20"/>
      <w:szCs w:val="20"/>
    </w:rPr>
  </w:style>
  <w:style w:type="character" w:customStyle="1" w:styleId="FootnoteTextChar">
    <w:name w:val="Footnote Text Char"/>
    <w:basedOn w:val="DefaultParagraphFont"/>
    <w:link w:val="FootnoteText"/>
    <w:uiPriority w:val="99"/>
    <w:semiHidden/>
    <w:rsid w:val="00AB2AC5"/>
    <w:rPr>
      <w:sz w:val="20"/>
      <w:szCs w:val="20"/>
    </w:rPr>
  </w:style>
  <w:style w:type="character" w:styleId="FootnoteReference">
    <w:name w:val="footnote reference"/>
    <w:basedOn w:val="DefaultParagraphFont"/>
    <w:uiPriority w:val="99"/>
    <w:semiHidden/>
    <w:unhideWhenUsed/>
    <w:rsid w:val="00AB2AC5"/>
    <w:rPr>
      <w:vertAlign w:val="superscript"/>
    </w:rPr>
  </w:style>
  <w:style w:type="paragraph" w:styleId="ListParagraph">
    <w:name w:val="List Paragraph"/>
    <w:basedOn w:val="Normal"/>
    <w:uiPriority w:val="34"/>
    <w:qFormat/>
    <w:rsid w:val="00AB2AC5"/>
    <w:pPr>
      <w:spacing w:after="160" w:line="259" w:lineRule="auto"/>
      <w:ind w:left="720"/>
      <w:contextualSpacing/>
    </w:pPr>
    <w:rPr>
      <w:rFonts w:asciiTheme="minorHAnsi" w:hAnsiTheme="minorHAnsi"/>
      <w:color w:val="auto"/>
    </w:rPr>
  </w:style>
  <w:style w:type="paragraph" w:customStyle="1" w:styleId="greyheaders">
    <w:name w:val="grey headers"/>
    <w:basedOn w:val="Heading1"/>
    <w:qFormat/>
    <w:rsid w:val="00AB2AC5"/>
    <w:rPr>
      <w:rFonts w:ascii="Arial" w:hAnsi="Arial" w:cs="Arial"/>
      <w:b/>
      <w:bCs/>
      <w:color w:val="808180"/>
      <w:sz w:val="30"/>
      <w:szCs w:val="30"/>
    </w:rPr>
  </w:style>
  <w:style w:type="paragraph" w:customStyle="1" w:styleId="JPtext">
    <w:name w:val="JP text"/>
    <w:basedOn w:val="NoSpacing"/>
    <w:qFormat/>
    <w:rsid w:val="00DE194C"/>
    <w:pPr>
      <w:spacing w:before="120"/>
    </w:pPr>
    <w:rPr>
      <w:rFonts w:ascii="Arial" w:hAnsi="Arial" w:cs="Arial"/>
      <w:sz w:val="20"/>
      <w:szCs w:val="20"/>
    </w:rPr>
  </w:style>
  <w:style w:type="paragraph" w:customStyle="1" w:styleId="greyheader2">
    <w:name w:val="grey header2"/>
    <w:basedOn w:val="Heading1"/>
    <w:qFormat/>
    <w:rsid w:val="00DE194C"/>
    <w:pPr>
      <w:numPr>
        <w:numId w:val="5"/>
      </w:numPr>
    </w:pPr>
    <w:rPr>
      <w:rFonts w:ascii="Arial" w:hAnsi="Arial" w:cs="Arial"/>
      <w:b/>
      <w:bCs/>
      <w:color w:val="808180"/>
      <w:sz w:val="30"/>
      <w:szCs w:val="30"/>
    </w:rPr>
  </w:style>
  <w:style w:type="paragraph" w:customStyle="1" w:styleId="JPtext2">
    <w:name w:val="JP text2"/>
    <w:basedOn w:val="NoSpacing"/>
    <w:qFormat/>
    <w:rsid w:val="00DE194C"/>
    <w:pPr>
      <w:numPr>
        <w:numId w:val="6"/>
      </w:numPr>
      <w:spacing w:before="120"/>
    </w:pPr>
    <w:rPr>
      <w:rFonts w:ascii="Arial" w:hAnsi="Arial" w:cs="Arial"/>
      <w:sz w:val="20"/>
      <w:szCs w:val="20"/>
    </w:rPr>
  </w:style>
  <w:style w:type="table" w:styleId="GridTable4-Accent5">
    <w:name w:val="Grid Table 4 Accent 5"/>
    <w:basedOn w:val="TableNormal"/>
    <w:uiPriority w:val="49"/>
    <w:rsid w:val="003639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
    <w:name w:val="Grid Table 5 Dark"/>
    <w:basedOn w:val="TableNormal"/>
    <w:uiPriority w:val="50"/>
    <w:rsid w:val="003639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test">
    <w:name w:val="test"/>
    <w:basedOn w:val="NoSpacing"/>
    <w:qFormat/>
    <w:rsid w:val="00B33586"/>
    <w:pPr>
      <w:numPr>
        <w:numId w:val="7"/>
      </w:numPr>
      <w:spacing w:before="60"/>
    </w:pPr>
    <w:rPr>
      <w:rFonts w:ascii="Arial" w:hAnsi="Arial" w:cs="Arial"/>
      <w:sz w:val="20"/>
      <w:szCs w:val="20"/>
    </w:rPr>
  </w:style>
  <w:style w:type="paragraph" w:customStyle="1" w:styleId="header3">
    <w:name w:val="header 3"/>
    <w:basedOn w:val="Heading2"/>
    <w:qFormat/>
    <w:rsid w:val="00B33586"/>
    <w:pPr>
      <w:numPr>
        <w:ilvl w:val="1"/>
        <w:numId w:val="10"/>
      </w:numPr>
      <w:spacing w:before="240" w:after="120"/>
    </w:pPr>
    <w:rPr>
      <w:rFonts w:ascii="Arial" w:hAnsi="Arial" w:cs="Arial"/>
      <w:b/>
      <w:bCs/>
      <w:color w:val="7A9FA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8870">
      <w:bodyDiv w:val="1"/>
      <w:marLeft w:val="0"/>
      <w:marRight w:val="0"/>
      <w:marTop w:val="0"/>
      <w:marBottom w:val="0"/>
      <w:divBdr>
        <w:top w:val="none" w:sz="0" w:space="0" w:color="auto"/>
        <w:left w:val="none" w:sz="0" w:space="0" w:color="auto"/>
        <w:bottom w:val="none" w:sz="0" w:space="0" w:color="auto"/>
        <w:right w:val="none" w:sz="0" w:space="0" w:color="auto"/>
      </w:divBdr>
    </w:div>
    <w:div w:id="15792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DE4E1FF2852C4AB94E009ECD2CE37F" ma:contentTypeVersion="2" ma:contentTypeDescription="Create a new document." ma:contentTypeScope="" ma:versionID="3b93755470906f394f130f5793ede84c">
  <xsd:schema xmlns:xsd="http://www.w3.org/2001/XMLSchema" xmlns:xs="http://www.w3.org/2001/XMLSchema" xmlns:p="http://schemas.microsoft.com/office/2006/metadata/properties" xmlns:ns2="d7ba0638-ee3c-42f0-be76-41efb289a28a" targetNamespace="http://schemas.microsoft.com/office/2006/metadata/properties" ma:root="true" ma:fieldsID="3e208dcf70609d4440d9eb6a0c54c07d" ns2:_="">
    <xsd:import namespace="d7ba0638-ee3c-42f0-be76-41efb289a28a"/>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a0638-ee3c-42f0-be76-41efb289a2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64384-B44F-4C92-AB40-4159CF83921E}">
  <ds:schemaRefs>
    <ds:schemaRef ds:uri="http://schemas.microsoft.com/sharepoint/v3/contenttype/forms"/>
  </ds:schemaRefs>
</ds:datastoreItem>
</file>

<file path=customXml/itemProps2.xml><?xml version="1.0" encoding="utf-8"?>
<ds:datastoreItem xmlns:ds="http://schemas.openxmlformats.org/officeDocument/2006/customXml" ds:itemID="{83C76A6D-C7D7-4D78-8823-E007C7C15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a0638-ee3c-42f0-be76-41efb289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AA4FE5-0C2F-4123-89A9-8FCE851FFE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623961-0973-4256-8974-EBDC3778D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New York State - Office of General Services</Company>
  <LinksUpToDate>false</LinksUpToDate>
  <CharactersWithSpaces>13221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Munyan, Jennifer (WCB)</dc:creator>
  <cp:lastModifiedBy>John</cp:lastModifiedBy>
  <cp:revision>2</cp:revision>
  <cp:lastPrinted>2016-10-04T18:31:00Z</cp:lastPrinted>
  <dcterms:created xsi:type="dcterms:W3CDTF">2016-10-07T14:08:00Z</dcterms:created>
  <dcterms:modified xsi:type="dcterms:W3CDTF">2016-10-07T14:08:00Z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0x01010007DE4E1FF2852C4AB94E009ECD2CE37F</vt:lpwstr>
  </property>
</Properties>
</file>